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8789" w14:textId="1C3D5807" w:rsidR="00752114" w:rsidRDefault="00E1048E" w:rsidP="00AF316B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4C0B05">
        <w:rPr>
          <w:rFonts w:ascii="Sylfaen" w:hAnsi="Sylfaen" w:cs="Arial"/>
          <w:b/>
          <w:bCs/>
          <w:color w:val="000000"/>
          <w:szCs w:val="24"/>
          <w:lang w:val="hy-AM"/>
        </w:rPr>
        <w:t xml:space="preserve">ՆԱԽԱԳԾԱ-ՆԱԽԱՀԱՇՎԱՅԻՆ ՓԱՍՏԱԹՂԹԵՐԻ </w:t>
      </w:r>
      <w:r>
        <w:rPr>
          <w:rFonts w:ascii="Sylfaen" w:hAnsi="Sylfaen" w:cs="Arial"/>
          <w:b/>
          <w:bCs/>
          <w:color w:val="000000"/>
          <w:szCs w:val="24"/>
          <w:lang w:val="hy-AM"/>
        </w:rPr>
        <w:t xml:space="preserve">ՏԵԽՆԻԿԱԿԱՆ </w:t>
      </w:r>
      <w:r w:rsidR="00DA422E">
        <w:rPr>
          <w:rFonts w:ascii="Sylfaen" w:hAnsi="Sylfaen" w:cstheme="minorHAnsi"/>
          <w:b/>
          <w:szCs w:val="22"/>
          <w:lang w:val="hy-AM"/>
        </w:rPr>
        <w:t>ՓՈՐՁԱՔՆՆՈՒԹՅԱՆ</w:t>
      </w:r>
      <w:r w:rsidR="00452CAB">
        <w:rPr>
          <w:rFonts w:ascii="Sylfaen" w:hAnsi="Sylfaen" w:cstheme="minorHAnsi"/>
          <w:b/>
          <w:szCs w:val="22"/>
          <w:lang w:val="en-US"/>
        </w:rPr>
        <w:t xml:space="preserve"> </w:t>
      </w:r>
      <w:r>
        <w:rPr>
          <w:rFonts w:ascii="Sylfaen" w:hAnsi="Sylfaen" w:cstheme="minorHAnsi"/>
          <w:b/>
          <w:szCs w:val="22"/>
          <w:lang w:val="hy-AM"/>
        </w:rPr>
        <w:t xml:space="preserve">ԻՐԱԿԱՆԱՑՄԱՆ </w:t>
      </w:r>
      <w:r w:rsidR="00FD024F" w:rsidRPr="00FD024F">
        <w:rPr>
          <w:rFonts w:ascii="Sylfaen" w:hAnsi="Sylfaen" w:cstheme="minorHAnsi"/>
          <w:b/>
          <w:szCs w:val="22"/>
          <w:lang w:val="hy-AM"/>
        </w:rPr>
        <w:t>ՆԱԽԱՈՐԱԿԱՎՈՐՄԱՆ ՀԱՅՏԵՐԻ ՆԵՐԿԱՅԱՑՄԱՆ ՀՐԱՎԵՐ</w:t>
      </w:r>
    </w:p>
    <w:p w14:paraId="43108BB0" w14:textId="5AFBD144" w:rsidR="00757143" w:rsidRPr="000E61E0" w:rsidRDefault="00757143" w:rsidP="00AF316B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0E61E0">
        <w:rPr>
          <w:rFonts w:ascii="Sylfaen" w:hAnsi="Sylfaen" w:cstheme="minorHAnsi"/>
          <w:b/>
          <w:szCs w:val="22"/>
          <w:lang w:val="hy-AM"/>
        </w:rPr>
        <w:t xml:space="preserve">Ծածկագիր </w:t>
      </w:r>
      <w:r w:rsidR="000E61E0" w:rsidRPr="000E61E0">
        <w:rPr>
          <w:rFonts w:ascii="Sylfaen" w:hAnsi="Sylfaen" w:cstheme="minorHAnsi"/>
          <w:b/>
          <w:szCs w:val="22"/>
          <w:lang w:val="hy-AM"/>
        </w:rPr>
        <w:t>Տ</w:t>
      </w:r>
      <w:r w:rsidR="000E61E0">
        <w:rPr>
          <w:rFonts w:ascii="Sylfaen" w:hAnsi="Sylfaen" w:cstheme="minorHAnsi"/>
          <w:b/>
          <w:szCs w:val="22"/>
          <w:lang w:val="hy-AM"/>
        </w:rPr>
        <w:t>եխ.Փորձ.նախաորակ.-2021</w:t>
      </w:r>
    </w:p>
    <w:p w14:paraId="48221B29" w14:textId="77777777" w:rsidR="00FD024F" w:rsidRPr="009E5A78" w:rsidRDefault="00FD024F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893EE6" w14:paraId="15A11F70" w14:textId="77777777" w:rsidTr="00FA6EF5">
        <w:tc>
          <w:tcPr>
            <w:tcW w:w="4162" w:type="dxa"/>
          </w:tcPr>
          <w:p w14:paraId="2CE0EFA2" w14:textId="4BBD283C" w:rsidR="00893EE6" w:rsidRDefault="00893EE6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14:paraId="4C55E0E2" w14:textId="50F14AC9" w:rsidR="00893EE6" w:rsidRDefault="00757143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</w:t>
            </w:r>
            <w:r w:rsidR="00893EE6">
              <w:rPr>
                <w:rFonts w:ascii="Sylfaen" w:hAnsi="Sylfaen" w:cstheme="minorHAnsi"/>
                <w:szCs w:val="22"/>
                <w:lang w:val="hy-AM"/>
              </w:rPr>
              <w:t>Վեոլիա Ջուր</w:t>
            </w:r>
            <w:r>
              <w:rPr>
                <w:rFonts w:ascii="Sylfaen" w:hAnsi="Sylfaen" w:cstheme="minorHAnsi"/>
                <w:szCs w:val="22"/>
                <w:lang w:val="hy-AM"/>
              </w:rPr>
              <w:t>»</w:t>
            </w:r>
            <w:r w:rsidR="00893EE6">
              <w:rPr>
                <w:rFonts w:ascii="Sylfaen" w:hAnsi="Sylfaen" w:cstheme="minorHAnsi"/>
                <w:szCs w:val="22"/>
                <w:lang w:val="hy-AM"/>
              </w:rPr>
              <w:t xml:space="preserve"> ՓԲԸ</w:t>
            </w:r>
          </w:p>
        </w:tc>
      </w:tr>
      <w:tr w:rsidR="00893EE6" w:rsidRPr="000E61E0" w14:paraId="6E794F95" w14:textId="77777777" w:rsidTr="00FA6EF5">
        <w:tc>
          <w:tcPr>
            <w:tcW w:w="4162" w:type="dxa"/>
          </w:tcPr>
          <w:p w14:paraId="613FBD4A" w14:textId="4CE94B07" w:rsidR="00893EE6" w:rsidRDefault="00EB208F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14:paraId="0AD59666" w14:textId="45011D95" w:rsidR="00893EE6" w:rsidRPr="00DA422E" w:rsidRDefault="00EB208F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DA422E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14:paraId="654DA329" w14:textId="09EE72E5" w:rsidR="00EB208F" w:rsidRPr="00FA6EF5" w:rsidRDefault="00FA6EF5" w:rsidP="00FA6EF5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DA422E">
              <w:rPr>
                <w:rFonts w:ascii="Sylfaen" w:hAnsi="Sylfaen" w:cstheme="minorHAnsi"/>
                <w:szCs w:val="22"/>
                <w:lang w:val="hy-AM"/>
              </w:rPr>
              <w:t>Խ. Ա</w:t>
            </w:r>
            <w:r w:rsidR="00EB208F" w:rsidRPr="00DA422E">
              <w:rPr>
                <w:rFonts w:ascii="Sylfaen" w:hAnsi="Sylfaen" w:cstheme="minorHAnsi"/>
                <w:szCs w:val="22"/>
                <w:lang w:val="hy-AM"/>
              </w:rPr>
              <w:t>բովյան 66</w:t>
            </w:r>
            <w:r w:rsidRPr="00DA422E">
              <w:rPr>
                <w:rFonts w:ascii="Sylfaen" w:hAnsi="Sylfaen" w:cstheme="minorHAnsi"/>
                <w:szCs w:val="22"/>
                <w:lang w:val="hy-AM"/>
              </w:rPr>
              <w:t>, 0025, Երևան, ՀՀ</w:t>
            </w:r>
          </w:p>
        </w:tc>
      </w:tr>
      <w:tr w:rsidR="00EB208F" w:rsidRPr="000E61E0" w14:paraId="3C551E19" w14:textId="77777777" w:rsidTr="00FA6EF5">
        <w:tc>
          <w:tcPr>
            <w:tcW w:w="4162" w:type="dxa"/>
          </w:tcPr>
          <w:p w14:paraId="3EEEF25A" w14:textId="1B3F740B" w:rsidR="00EB208F" w:rsidRDefault="00EB208F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14:paraId="6FD43DD6" w14:textId="284E46CA" w:rsidR="00EB208F" w:rsidRDefault="00667F7D" w:rsidP="00F1269B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854471">
              <w:rPr>
                <w:rFonts w:ascii="Sylfaen" w:hAnsi="Sylfaen" w:cstheme="minorHAnsi"/>
                <w:szCs w:val="22"/>
                <w:lang w:val="hy-AM"/>
              </w:rPr>
              <w:t>Պարտադ</w:t>
            </w:r>
            <w:r>
              <w:rPr>
                <w:rFonts w:ascii="Sylfaen" w:hAnsi="Sylfaen" w:cstheme="minorHAnsi"/>
                <w:szCs w:val="22"/>
                <w:lang w:val="hy-AM"/>
              </w:rPr>
              <w:t>իր Կապիտալ Աշխատանքների Ծրագրի</w:t>
            </w:r>
            <w:r w:rsidR="00F1269B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>
              <w:rPr>
                <w:rFonts w:ascii="Sylfaen" w:hAnsi="Sylfaen" w:cstheme="minorHAnsi"/>
                <w:szCs w:val="22"/>
                <w:lang w:val="hy-AM"/>
              </w:rPr>
              <w:t>նախագծա-նախահաշվային</w:t>
            </w:r>
            <w:r w:rsidR="00E7168B">
              <w:rPr>
                <w:rFonts w:ascii="Sylfaen" w:hAnsi="Sylfaen" w:cstheme="minorHAnsi"/>
                <w:szCs w:val="22"/>
                <w:lang w:val="hy-AM"/>
              </w:rPr>
              <w:t xml:space="preserve"> փաստաթղթերի </w:t>
            </w:r>
            <w:r w:rsidR="00F1269B">
              <w:rPr>
                <w:rFonts w:ascii="Sylfaen" w:hAnsi="Sylfaen" w:cstheme="minorHAnsi"/>
                <w:szCs w:val="22"/>
                <w:lang w:val="hy-AM"/>
              </w:rPr>
              <w:t>տեխնիկական փորձաքննության իրականացման</w:t>
            </w:r>
            <w:r>
              <w:rPr>
                <w:rFonts w:ascii="Sylfaen" w:hAnsi="Sylfaen" w:cstheme="minorHAnsi"/>
                <w:szCs w:val="22"/>
                <w:lang w:val="hy-AM"/>
              </w:rPr>
              <w:t xml:space="preserve"> նախաորակավորում</w:t>
            </w:r>
          </w:p>
        </w:tc>
      </w:tr>
      <w:tr w:rsidR="00EB208F" w14:paraId="6E22A80A" w14:textId="77777777" w:rsidTr="00FA6EF5">
        <w:tc>
          <w:tcPr>
            <w:tcW w:w="4162" w:type="dxa"/>
          </w:tcPr>
          <w:p w14:paraId="28707987" w14:textId="2F8B7A22" w:rsidR="00EB208F" w:rsidRDefault="00FA6EF5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14:paraId="7DF2FEB7" w14:textId="37E875FE" w:rsidR="00EB208F" w:rsidRPr="000E61E0" w:rsidRDefault="000E61E0" w:rsidP="000E61E0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0E61E0">
              <w:rPr>
                <w:rFonts w:ascii="Sylfaen" w:hAnsi="Sylfaen" w:cstheme="minorHAnsi"/>
                <w:szCs w:val="22"/>
                <w:lang w:val="en-US"/>
              </w:rPr>
              <w:t>16</w:t>
            </w:r>
            <w:r w:rsidR="00667F7D" w:rsidRPr="000E61E0">
              <w:rPr>
                <w:rFonts w:ascii="Sylfaen" w:hAnsi="Sylfaen" w:cstheme="minorHAnsi"/>
                <w:szCs w:val="22"/>
                <w:lang w:val="en-US"/>
              </w:rPr>
              <w:t xml:space="preserve"> </w:t>
            </w:r>
            <w:r w:rsidR="00DA422E" w:rsidRPr="000E61E0">
              <w:rPr>
                <w:rFonts w:ascii="Sylfaen" w:hAnsi="Sylfaen" w:cstheme="minorHAnsi"/>
                <w:szCs w:val="22"/>
                <w:lang w:val="hy-AM"/>
              </w:rPr>
              <w:t>մարտի 2021</w:t>
            </w:r>
            <w:r w:rsidR="00FA6EF5" w:rsidRPr="000E61E0">
              <w:rPr>
                <w:rFonts w:ascii="Sylfaen" w:hAnsi="Sylfaen" w:cstheme="minorHAnsi"/>
                <w:szCs w:val="22"/>
                <w:lang w:val="hy-AM"/>
              </w:rPr>
              <w:t>թ.</w:t>
            </w:r>
          </w:p>
        </w:tc>
      </w:tr>
      <w:tr w:rsidR="00EB208F" w:rsidRPr="000E61E0" w14:paraId="2CA53DFD" w14:textId="77777777" w:rsidTr="00FA6EF5">
        <w:tc>
          <w:tcPr>
            <w:tcW w:w="4162" w:type="dxa"/>
          </w:tcPr>
          <w:p w14:paraId="429587AF" w14:textId="3F827E57" w:rsidR="00EB208F" w:rsidRDefault="00FA6EF5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Հայտի ներկայացման վերջնաժամկետ՝</w:t>
            </w:r>
          </w:p>
        </w:tc>
        <w:tc>
          <w:tcPr>
            <w:tcW w:w="5504" w:type="dxa"/>
          </w:tcPr>
          <w:p w14:paraId="7D832EBF" w14:textId="3459137A" w:rsidR="00EB208F" w:rsidRPr="000E61E0" w:rsidRDefault="000E61E0" w:rsidP="000E61E0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0E61E0">
              <w:rPr>
                <w:rFonts w:ascii="Sylfaen" w:hAnsi="Sylfaen" w:cstheme="minorHAnsi"/>
                <w:szCs w:val="22"/>
                <w:lang w:val="hy-AM"/>
              </w:rPr>
              <w:t>23</w:t>
            </w:r>
            <w:r w:rsidR="00667F7D" w:rsidRPr="000E61E0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0E61E0">
              <w:rPr>
                <w:rFonts w:ascii="Sylfaen" w:hAnsi="Sylfaen" w:cstheme="minorHAnsi"/>
                <w:szCs w:val="22"/>
                <w:lang w:val="hy-AM"/>
              </w:rPr>
              <w:t>մարտի</w:t>
            </w:r>
            <w:r w:rsidR="00DA422E" w:rsidRPr="000E61E0">
              <w:rPr>
                <w:rFonts w:ascii="Sylfaen" w:hAnsi="Sylfaen" w:cstheme="minorHAnsi"/>
                <w:szCs w:val="22"/>
                <w:lang w:val="hy-AM"/>
              </w:rPr>
              <w:t xml:space="preserve"> 2021</w:t>
            </w:r>
            <w:r w:rsidR="00FA6EF5" w:rsidRPr="000E61E0">
              <w:rPr>
                <w:rFonts w:ascii="Sylfaen" w:hAnsi="Sylfaen" w:cstheme="minorHAnsi"/>
                <w:szCs w:val="22"/>
                <w:lang w:val="hy-AM"/>
              </w:rPr>
              <w:t>թ.</w:t>
            </w:r>
            <w:r w:rsidR="00667F7D" w:rsidRPr="000E61E0">
              <w:rPr>
                <w:rFonts w:ascii="Sylfaen" w:hAnsi="Sylfaen" w:cstheme="minorHAnsi"/>
                <w:szCs w:val="22"/>
                <w:lang w:val="hy-AM"/>
              </w:rPr>
              <w:t>, ժամը 11:00</w:t>
            </w:r>
          </w:p>
        </w:tc>
      </w:tr>
    </w:tbl>
    <w:p w14:paraId="4DD2B949" w14:textId="77777777" w:rsidR="00893EE6" w:rsidRDefault="00893EE6" w:rsidP="0075211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45E80A01" w14:textId="18DDA434" w:rsidR="00762DE3" w:rsidRPr="00762DE3" w:rsidRDefault="00762DE3" w:rsidP="00762DE3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1: ԳՆՄԱՆ ԵՆԹԱԿԱ ԾԱՌԱՅՈՒԹՅԱՆ ԱՆՎԱՆՈՒՄԸ և ԲՆՈՒԹԱԳՐԵՐԸ</w:t>
      </w:r>
    </w:p>
    <w:p w14:paraId="05C6F1E9" w14:textId="77777777" w:rsidR="00762DE3" w:rsidRDefault="00762DE3" w:rsidP="0060527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36B0E6F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«Վեոլիա Ջուր» ՓԲԸ-ն</w:t>
      </w:r>
      <w:r w:rsidRPr="009D6C7D">
        <w:rPr>
          <w:rFonts w:ascii="Sylfaen" w:hAnsi="Sylfaen" w:cstheme="minorHAnsi"/>
          <w:sz w:val="22"/>
          <w:szCs w:val="22"/>
          <w:lang w:val="hy-AM"/>
        </w:rPr>
        <w:t xml:space="preserve"> (</w:t>
      </w:r>
      <w:r>
        <w:rPr>
          <w:rFonts w:ascii="Sylfaen" w:hAnsi="Sylfaen" w:cstheme="minorHAnsi"/>
          <w:sz w:val="22"/>
          <w:szCs w:val="22"/>
          <w:lang w:val="hy-AM"/>
        </w:rPr>
        <w:t>այսուհետ Պատվիրատու</w:t>
      </w:r>
      <w:r w:rsidRPr="009D6C7D">
        <w:rPr>
          <w:rFonts w:ascii="Sylfaen" w:hAnsi="Sylfaen" w:cstheme="minorHAnsi"/>
          <w:sz w:val="22"/>
          <w:szCs w:val="22"/>
          <w:lang w:val="hy-AM"/>
        </w:rPr>
        <w:t>)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համաձայն ՀՀ</w:t>
      </w:r>
      <w:r>
        <w:rPr>
          <w:rFonts w:ascii="Sylfaen" w:hAnsi="Sylfaen" w:cstheme="minorHAnsi"/>
          <w:sz w:val="22"/>
          <w:szCs w:val="22"/>
          <w:lang w:val="hy-AM"/>
        </w:rPr>
        <w:t xml:space="preserve"> Կառավարության հետ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2016թ. նոյեմբերի 21-ին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կնքված </w:t>
      </w:r>
      <w:r>
        <w:rPr>
          <w:rFonts w:ascii="Sylfaen" w:hAnsi="Sylfaen" w:cstheme="minorHAnsi"/>
          <w:sz w:val="22"/>
          <w:szCs w:val="22"/>
          <w:lang w:val="hy-AM"/>
        </w:rPr>
        <w:t>Վարձակալության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պայմանագրի՝ </w:t>
      </w:r>
      <w:r>
        <w:rPr>
          <w:rFonts w:ascii="Sylfaen" w:hAnsi="Sylfaen" w:cstheme="minorHAnsi"/>
          <w:sz w:val="22"/>
          <w:szCs w:val="22"/>
          <w:lang w:val="hy-AM"/>
        </w:rPr>
        <w:t xml:space="preserve">սկսած 2017թ-ից,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յուրաքանչյուր տարի իրականացնում է </w:t>
      </w:r>
      <w:r>
        <w:rPr>
          <w:rFonts w:ascii="Sylfaen" w:hAnsi="Sylfaen" w:cstheme="minorHAnsi"/>
          <w:sz w:val="22"/>
          <w:szCs w:val="22"/>
          <w:lang w:val="hy-AM"/>
        </w:rPr>
        <w:t>Պատվիրատուի սպասարկման տարածքում գտնվող ՀՀ բնակավայրերի 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րամատակարարման և </w:t>
      </w:r>
      <w:r>
        <w:rPr>
          <w:rFonts w:ascii="Sylfaen" w:hAnsi="Sylfaen" w:cstheme="minorHAnsi"/>
          <w:sz w:val="22"/>
          <w:szCs w:val="22"/>
          <w:lang w:val="hy-AM"/>
        </w:rPr>
        <w:t>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րահեռացման </w:t>
      </w:r>
      <w:r>
        <w:rPr>
          <w:rFonts w:ascii="Sylfaen" w:hAnsi="Sylfaen" w:cstheme="minorHAnsi"/>
          <w:sz w:val="22"/>
          <w:szCs w:val="22"/>
          <w:lang w:val="hy-AM"/>
        </w:rPr>
        <w:t xml:space="preserve"> (այսուհետ ՋևՋ)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համակարգերի բարելավման</w:t>
      </w:r>
      <w:r>
        <w:rPr>
          <w:rFonts w:ascii="Sylfaen" w:hAnsi="Sylfaen" w:cstheme="minorHAnsi"/>
          <w:sz w:val="22"/>
          <w:szCs w:val="22"/>
          <w:lang w:val="hy-AM"/>
        </w:rPr>
        <w:t>ն ուղղված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«Պարտադ</w:t>
      </w:r>
      <w:r>
        <w:rPr>
          <w:rFonts w:ascii="Sylfaen" w:hAnsi="Sylfaen" w:cstheme="minorHAnsi"/>
          <w:sz w:val="22"/>
          <w:szCs w:val="22"/>
          <w:lang w:val="hy-AM"/>
        </w:rPr>
        <w:t>իր Կապիտալ Աշխատանքների Ծրագիր»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(այսուհետ ՊԿԱԾ)։ </w:t>
      </w:r>
    </w:p>
    <w:p w14:paraId="2D158DAB" w14:textId="77777777" w:rsidR="008A26C1" w:rsidRPr="004D6DB2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C851A41" w14:textId="09ED9121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Սույն հրավերով, Պատվիրատուն ցա</w:t>
      </w:r>
      <w:r w:rsidR="00DA422E">
        <w:rPr>
          <w:rFonts w:ascii="Sylfaen" w:hAnsi="Sylfaen" w:cstheme="minorHAnsi"/>
          <w:sz w:val="22"/>
          <w:szCs w:val="22"/>
          <w:lang w:val="hy-AM"/>
        </w:rPr>
        <w:t xml:space="preserve">նկանում է կազմակերպել ՊԿԱԾ </w:t>
      </w:r>
      <w:r>
        <w:rPr>
          <w:rFonts w:ascii="Sylfaen" w:hAnsi="Sylfaen" w:cstheme="minorHAnsi"/>
          <w:sz w:val="22"/>
          <w:szCs w:val="22"/>
          <w:lang w:val="hy-AM"/>
        </w:rPr>
        <w:t xml:space="preserve">գործառույթների շրջանակներում ՋևՋ համակարգերի </w:t>
      </w:r>
      <w:r w:rsidR="00DA422E">
        <w:rPr>
          <w:rFonts w:ascii="Sylfaen" w:hAnsi="Sylfaen" w:cstheme="minorHAnsi"/>
          <w:sz w:val="22"/>
          <w:szCs w:val="22"/>
          <w:lang w:val="hy-AM"/>
        </w:rPr>
        <w:t xml:space="preserve">համար մշակված նախագծա-նախահաշվային փաստաթղթերի տեխնիկական փորձաքննության </w:t>
      </w:r>
      <w:r>
        <w:rPr>
          <w:rFonts w:ascii="Sylfaen" w:hAnsi="Sylfaen" w:cstheme="minorHAnsi"/>
          <w:sz w:val="22"/>
          <w:szCs w:val="22"/>
          <w:lang w:val="hy-AM"/>
        </w:rPr>
        <w:t xml:space="preserve">իրականացման համար խորհրդատվական կազմակերպությունների </w:t>
      </w:r>
      <w:r w:rsidRPr="00554FD2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Խորհրդատու</w:t>
      </w:r>
      <w:r w:rsidR="00205689">
        <w:rPr>
          <w:rFonts w:ascii="Sylfaen" w:hAnsi="Sylfaen" w:cstheme="minorHAnsi"/>
          <w:sz w:val="22"/>
          <w:szCs w:val="22"/>
          <w:lang w:val="hy-AM"/>
        </w:rPr>
        <w:t xml:space="preserve"> կամ Հայտատու</w:t>
      </w:r>
      <w:r w:rsidRPr="00554FD2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Pr="00854471">
        <w:rPr>
          <w:rFonts w:ascii="Sylfaen" w:hAnsi="Sylfaen" w:cstheme="minorHAnsi"/>
          <w:sz w:val="22"/>
          <w:szCs w:val="22"/>
          <w:lang w:val="hy-AM"/>
        </w:rPr>
        <w:t>նախաորակավորման մրցույթ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594D0ED9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67B7F633" w14:textId="0C3659F0" w:rsidR="00E7168B" w:rsidRDefault="00E7168B" w:rsidP="00E7168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DC4C9C">
        <w:rPr>
          <w:rFonts w:ascii="Sylfaen" w:hAnsi="Sylfaen" w:cstheme="minorHAnsi"/>
          <w:sz w:val="22"/>
          <w:szCs w:val="22"/>
          <w:lang w:val="hy-AM"/>
        </w:rPr>
        <w:t>Նախաորակավորման մրցույթի արդյունքում Պատվիրատուն ակնկալում է ընտրել փորձառու Խորհրդատուներ, որոնց հետ կկնքվեն ՊԿԱԾ</w:t>
      </w:r>
      <w:r w:rsidR="00DA422E" w:rsidRPr="00DC4C9C">
        <w:rPr>
          <w:rFonts w:ascii="Sylfaen" w:hAnsi="Sylfaen" w:cstheme="minorHAnsi"/>
          <w:sz w:val="22"/>
          <w:szCs w:val="22"/>
          <w:lang w:val="hy-AM"/>
        </w:rPr>
        <w:t>-ի շրջանակում մշակված նախագծա-նախահաշվային փաստաթղթերի</w:t>
      </w:r>
      <w:r w:rsidR="00DA422E" w:rsidRPr="00DA422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DA422E">
        <w:rPr>
          <w:rFonts w:ascii="Sylfaen" w:hAnsi="Sylfaen" w:cstheme="minorHAnsi"/>
          <w:sz w:val="22"/>
          <w:szCs w:val="22"/>
          <w:lang w:val="hy-AM"/>
        </w:rPr>
        <w:t>տեխնիկական փորձաքննության իրականացման</w:t>
      </w:r>
      <w:r w:rsidR="00DA422E" w:rsidRPr="00DA422E">
        <w:rPr>
          <w:rFonts w:ascii="Sylfaen" w:hAnsi="Sylfaen" w:cstheme="minorHAnsi"/>
          <w:sz w:val="22"/>
          <w:szCs w:val="22"/>
          <w:highlight w:val="yellow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խորհրդատվական </w:t>
      </w:r>
      <w:r w:rsidR="00936E73">
        <w:rPr>
          <w:rFonts w:ascii="Sylfaen" w:hAnsi="Sylfaen" w:cstheme="minorHAnsi"/>
          <w:sz w:val="22"/>
          <w:szCs w:val="22"/>
          <w:lang w:val="hy-AM"/>
        </w:rPr>
        <w:t xml:space="preserve">ծառայությունների մատուցման </w:t>
      </w:r>
      <w:r>
        <w:rPr>
          <w:rFonts w:ascii="Sylfaen" w:hAnsi="Sylfaen" w:cstheme="minorHAnsi"/>
          <w:sz w:val="22"/>
          <w:szCs w:val="22"/>
          <w:lang w:val="hy-AM"/>
        </w:rPr>
        <w:t>համապատասխան պայմանագրեր</w:t>
      </w:r>
      <w:r w:rsidR="00936E73">
        <w:rPr>
          <w:rFonts w:ascii="Sylfaen" w:hAnsi="Sylfaen" w:cstheme="minorHAnsi"/>
          <w:sz w:val="22"/>
          <w:szCs w:val="22"/>
          <w:lang w:val="hy-AM"/>
        </w:rPr>
        <w:t>:</w:t>
      </w:r>
    </w:p>
    <w:p w14:paraId="7847709C" w14:textId="77777777" w:rsidR="00E7168B" w:rsidRPr="00854471" w:rsidRDefault="00E7168B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2EC34A5B" w14:textId="77777777" w:rsidR="0060527F" w:rsidRPr="00854471" w:rsidRDefault="0060527F" w:rsidP="0060527F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14:paraId="79E8F4DB" w14:textId="61925235" w:rsidR="0060527F" w:rsidRDefault="00762DE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2: </w:t>
      </w:r>
      <w:r w:rsidRPr="00762DE3">
        <w:rPr>
          <w:rFonts w:ascii="Sylfaen" w:hAnsi="Sylfaen" w:cstheme="minorHAnsi"/>
          <w:b/>
          <w:sz w:val="22"/>
          <w:szCs w:val="22"/>
          <w:lang w:val="hy-AM"/>
        </w:rPr>
        <w:t>ԽՈՐՀ</w:t>
      </w:r>
      <w:r w:rsidR="00113F6E">
        <w:rPr>
          <w:rFonts w:ascii="Sylfaen" w:hAnsi="Sylfaen" w:cstheme="minorHAnsi"/>
          <w:b/>
          <w:sz w:val="22"/>
          <w:szCs w:val="22"/>
          <w:lang w:val="hy-AM"/>
        </w:rPr>
        <w:t>ՐԴԱՏՈՒԻ ՀԻՄՆԱԿԱՆ ԳՈՐԾԱՌՈՒՅԹՆԵՐԸ</w:t>
      </w:r>
    </w:p>
    <w:p w14:paraId="51A82DF3" w14:textId="77777777" w:rsidR="00936E73" w:rsidRPr="00D97CDD" w:rsidRDefault="00936E73" w:rsidP="00D97CDD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500C5395" w14:textId="77777777" w:rsidR="00D97CDD" w:rsidRPr="00D97CDD" w:rsidRDefault="00D97CDD" w:rsidP="00D97CDD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D97CDD">
        <w:rPr>
          <w:rFonts w:ascii="Sylfaen" w:hAnsi="Sylfaen" w:cstheme="minorHAnsi"/>
          <w:sz w:val="22"/>
          <w:szCs w:val="22"/>
          <w:lang w:val="hy-AM"/>
        </w:rPr>
        <w:t xml:space="preserve">Նախատեսվող խորհրդատվական ծառայությունները ենթադրում են ՋևՋ համակարգերի գլխամասային կառուցվածքների և ենթակառուցվածքների, մասնավորապես՝ կապտաժների, դրենաժային համակարգերի, գետային ջրընդունիչների, ջրի մաքրման կայանների (ՋՄԿ), խորքային հորերի, քլորակայանների (ներառյալ քլորացման սարքավորումների և անվտանգության համակարգերի), պոմպակայանների (ներառյալ տեխնոլոգիական և </w:t>
      </w:r>
      <w:r w:rsidRPr="00D97CDD">
        <w:rPr>
          <w:rFonts w:ascii="Sylfaen" w:hAnsi="Sylfaen" w:cstheme="minorHAnsi"/>
          <w:sz w:val="22"/>
          <w:szCs w:val="22"/>
          <w:lang w:val="hy-AM"/>
        </w:rPr>
        <w:lastRenderedPageBreak/>
        <w:t>էլեկտրական սարքավորումների), արտաքին համակարգերի մայր ջրատարների, բնակավայրերի ջրապահանջի օրվա կարգավորման ջրամբարների (ՕԿՋ), բաշխիչ ցանցերի ջրագծերի, փականային և ճնշման կարագավորման հանգույցների դիտահորերի, ջրաչափական հանգույցների, կոյուղագծերի, կեղտաջրերի, հեղեղատար անհատական համակարգերի, ինչպես նաև Պատվիրատուի վարչական շենք-շինությունների նորոգման, կառուցման, վերակառուցման և դրանց հետ փոխկապակցված այլ աշխատանքների (էլեկտրամատակարարման, օդափոխության, ասֆալտապատման և այլն) համար մշակված նախագծա-նախահաշվային փաստաթղթերի տեխնիկական փորձաքննություն:</w:t>
      </w:r>
    </w:p>
    <w:p w14:paraId="7F39F560" w14:textId="77777777" w:rsidR="0060527F" w:rsidRPr="00854471" w:rsidRDefault="0060527F" w:rsidP="0060527F">
      <w:pPr>
        <w:rPr>
          <w:rFonts w:ascii="Sylfaen" w:hAnsi="Sylfaen" w:cstheme="minorHAnsi"/>
          <w:sz w:val="22"/>
          <w:szCs w:val="22"/>
          <w:lang w:val="hy-AM"/>
        </w:rPr>
      </w:pPr>
    </w:p>
    <w:p w14:paraId="6D14FF27" w14:textId="1017D2FB" w:rsidR="004757EA" w:rsidRDefault="00D446EC" w:rsidP="008301D4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3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152448" w:rsidRPr="008301D4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="00152448">
        <w:rPr>
          <w:rFonts w:ascii="Sylfaen" w:hAnsi="Sylfaen" w:cstheme="minorHAnsi"/>
          <w:b/>
          <w:sz w:val="22"/>
          <w:szCs w:val="22"/>
          <w:lang w:val="hy-AM"/>
        </w:rPr>
        <w:t>ՄԱՍՆԱԿՑԵԼՈՒ ՊԱՅՄԱՆՆԵՐ</w:t>
      </w:r>
    </w:p>
    <w:p w14:paraId="0F30AD33" w14:textId="77777777" w:rsidR="00757143" w:rsidRDefault="00757143" w:rsidP="008301D4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14:paraId="0C97E338" w14:textId="46094F4E" w:rsidR="00757143" w:rsidRPr="00400D8E" w:rsidRDefault="00757143" w:rsidP="00400D8E">
      <w:pPr>
        <w:rPr>
          <w:rFonts w:ascii="Sylfaen" w:hAnsi="Sylfaen" w:cs="Times Armenian"/>
          <w:sz w:val="22"/>
          <w:szCs w:val="22"/>
          <w:lang w:val="hy-AM"/>
        </w:rPr>
      </w:pPr>
      <w:r w:rsidRPr="00400D8E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14:paraId="76543D3E" w14:textId="77777777" w:rsidR="00757143" w:rsidRDefault="00757143" w:rsidP="008301D4">
      <w:pPr>
        <w:rPr>
          <w:rFonts w:ascii="Sylfaen" w:hAnsi="Sylfaen" w:cs="Times Armenian"/>
          <w:sz w:val="22"/>
          <w:szCs w:val="22"/>
          <w:lang w:val="hy-AM"/>
        </w:rPr>
      </w:pPr>
    </w:p>
    <w:p w14:paraId="598D6797" w14:textId="4C0F4083" w:rsidR="00551E22" w:rsidRPr="00D1357B" w:rsidRDefault="00757143" w:rsidP="00D1357B">
      <w:pPr>
        <w:pStyle w:val="ListParagraph"/>
        <w:numPr>
          <w:ilvl w:val="0"/>
          <w:numId w:val="38"/>
        </w:numPr>
        <w:rPr>
          <w:rFonts w:ascii="Sylfaen" w:hAnsi="Sylfaen" w:cs="Times Armenian"/>
          <w:sz w:val="22"/>
          <w:szCs w:val="22"/>
          <w:lang w:val="hy-AM"/>
        </w:rPr>
      </w:pPr>
      <w:r w:rsidRPr="00D1357B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</w:t>
      </w:r>
      <w:r w:rsidRPr="00D1357B">
        <w:rPr>
          <w:rFonts w:ascii="Sylfaen" w:hAnsi="Sylfaen" w:cs="Times Armenian"/>
          <w:b/>
          <w:sz w:val="22"/>
          <w:szCs w:val="22"/>
          <w:lang w:val="hy-AM"/>
        </w:rPr>
        <w:t>որակավորման չափանիշների</w:t>
      </w:r>
      <w:r w:rsidRPr="00D1357B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14:paraId="6FEFE1B3" w14:textId="77777777" w:rsidR="00757143" w:rsidRPr="00757143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մասնակցության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իրավունքի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14:paraId="205B6B3B" w14:textId="51A06593" w:rsidR="00757143" w:rsidRPr="00757143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Նախաորակավորման հայտերը մասնակիցների կողմից ներկայացվում են առանց գնային պայմանների: Նախաորակավորման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հայտերը պարունակում են, բացառապես, սույն հրավերով </w:t>
      </w:r>
      <w:r>
        <w:rPr>
          <w:rFonts w:ascii="Sylfaen" w:hAnsi="Sylfaen" w:cs="Times Armenian"/>
          <w:sz w:val="22"/>
          <w:szCs w:val="22"/>
          <w:lang w:val="hy-AM"/>
        </w:rPr>
        <w:t>պահանջվող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 w:rsidR="00452CAB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Հանձնաժողովի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կողմից</w:t>
      </w:r>
      <w:r w:rsidR="00E5606F">
        <w:rPr>
          <w:rFonts w:ascii="Sylfaen" w:hAnsi="Sylfaen" w:cs="Times Armenian"/>
          <w:sz w:val="22"/>
          <w:szCs w:val="22"/>
          <w:lang w:val="hy-AM"/>
        </w:rPr>
        <w:t>:</w:t>
      </w:r>
    </w:p>
    <w:p w14:paraId="302BEA67" w14:textId="77777777" w:rsidR="00757143" w:rsidRDefault="00757143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20CBDF67" w14:textId="505A383A" w:rsidR="00152448" w:rsidRPr="00757143" w:rsidRDefault="00152448" w:rsidP="008301D4">
      <w:p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ընթացակարգին մասնակցելու ցանկություն ունեցող Հայտատուն պետք է բավարարի ստորև բերված </w:t>
      </w:r>
      <w:r w:rsidR="00551E22" w:rsidRPr="00757143">
        <w:rPr>
          <w:rFonts w:ascii="Sylfaen" w:hAnsi="Sylfaen" w:cstheme="minorHAnsi"/>
          <w:sz w:val="22"/>
          <w:szCs w:val="22"/>
          <w:lang w:val="hy-AM"/>
        </w:rPr>
        <w:t xml:space="preserve">հիմնական </w:t>
      </w:r>
      <w:r w:rsidRPr="00757143">
        <w:rPr>
          <w:rFonts w:ascii="Sylfaen" w:hAnsi="Sylfaen" w:cstheme="minorHAnsi"/>
          <w:sz w:val="22"/>
          <w:szCs w:val="22"/>
          <w:lang w:val="hy-AM"/>
        </w:rPr>
        <w:t>որակավորման չափանիշներին՝</w:t>
      </w:r>
    </w:p>
    <w:p w14:paraId="48463A33" w14:textId="77777777" w:rsidR="00152448" w:rsidRDefault="00152448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493390D1" w14:textId="1436437C" w:rsidR="00551E22" w:rsidRPr="002A16D0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2A16D0">
        <w:rPr>
          <w:rFonts w:ascii="Sylfaen" w:hAnsi="Sylfaen" w:cstheme="minorHAnsi"/>
          <w:sz w:val="22"/>
          <w:szCs w:val="22"/>
          <w:lang w:val="hy-AM"/>
        </w:rPr>
        <w:t xml:space="preserve">ՀՀ քաղաքաշինության կոմիտեի </w:t>
      </w:r>
      <w:r w:rsidR="00152448" w:rsidRPr="002A16D0">
        <w:rPr>
          <w:rFonts w:ascii="Sylfaen" w:hAnsi="Sylfaen" w:cstheme="minorHAnsi"/>
          <w:sz w:val="22"/>
          <w:szCs w:val="22"/>
          <w:lang w:val="hy-AM"/>
        </w:rPr>
        <w:t xml:space="preserve">կողմից </w:t>
      </w:r>
      <w:r w:rsidRPr="002A16D0">
        <w:rPr>
          <w:rFonts w:ascii="Sylfaen" w:hAnsi="Sylfaen" w:cstheme="minorHAnsi"/>
          <w:sz w:val="22"/>
          <w:szCs w:val="22"/>
          <w:lang w:val="hy-AM"/>
        </w:rPr>
        <w:t xml:space="preserve">տրված </w:t>
      </w:r>
      <w:r w:rsidR="00D97CDD" w:rsidRPr="002A16D0">
        <w:rPr>
          <w:rFonts w:ascii="Sylfaen" w:hAnsi="Sylfaen" w:cstheme="minorHAnsi"/>
          <w:sz w:val="22"/>
          <w:szCs w:val="22"/>
          <w:lang w:val="hy-AM"/>
        </w:rPr>
        <w:t>քաղաքաշինական փաստաթղթերի փորձաքննության</w:t>
      </w:r>
      <w:r w:rsidR="00152448" w:rsidRPr="002A16D0">
        <w:rPr>
          <w:rFonts w:ascii="Sylfaen" w:hAnsi="Sylfaen" w:cstheme="minorHAnsi"/>
          <w:sz w:val="22"/>
          <w:szCs w:val="22"/>
          <w:lang w:val="hy-AM"/>
        </w:rPr>
        <w:t xml:space="preserve"> լիցենզիա</w:t>
      </w:r>
      <w:r w:rsidR="00D97CDD" w:rsidRPr="002A16D0">
        <w:rPr>
          <w:rFonts w:ascii="Sylfaen" w:hAnsi="Sylfaen" w:cstheme="minorHAnsi"/>
          <w:sz w:val="22"/>
          <w:szCs w:val="22"/>
          <w:lang w:val="hy-AM"/>
        </w:rPr>
        <w:t xml:space="preserve">՝ </w:t>
      </w:r>
      <w:r w:rsidRPr="002A16D0">
        <w:rPr>
          <w:rFonts w:ascii="Sylfaen" w:hAnsi="Sylfaen" w:cstheme="minorHAnsi"/>
          <w:sz w:val="22"/>
          <w:szCs w:val="22"/>
          <w:lang w:val="hy-AM"/>
        </w:rPr>
        <w:t>«Ջրամատակարարման</w:t>
      </w:r>
      <w:r w:rsidR="00D97CDD" w:rsidRPr="002A16D0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2A16D0">
        <w:rPr>
          <w:rFonts w:ascii="Sylfaen" w:hAnsi="Sylfaen" w:cstheme="minorHAnsi"/>
          <w:sz w:val="22"/>
          <w:szCs w:val="22"/>
          <w:lang w:val="hy-AM"/>
        </w:rPr>
        <w:t>ջրահեռացման և</w:t>
      </w:r>
      <w:r w:rsidR="00D97CDD" w:rsidRPr="002A16D0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20A8F" w:rsidRPr="002A16D0">
        <w:rPr>
          <w:rFonts w:ascii="Sylfaen" w:hAnsi="Sylfaen" w:cstheme="minorHAnsi"/>
          <w:sz w:val="22"/>
          <w:szCs w:val="22"/>
          <w:lang w:val="hy-AM"/>
        </w:rPr>
        <w:t>հ</w:t>
      </w:r>
      <w:r w:rsidRPr="002A16D0">
        <w:rPr>
          <w:rFonts w:ascii="Sylfaen" w:hAnsi="Sylfaen" w:cstheme="minorHAnsi"/>
          <w:sz w:val="22"/>
          <w:szCs w:val="22"/>
          <w:lang w:val="hy-AM"/>
        </w:rPr>
        <w:t>իդրոտեխնիկական կառույցներ և համակարգեր» բնագավառում;</w:t>
      </w:r>
    </w:p>
    <w:p w14:paraId="5A47770B" w14:textId="7D4F1DFD" w:rsidR="00152448" w:rsidRDefault="00152448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Առնվազն 5 տարվա </w:t>
      </w:r>
      <w:r w:rsidR="00551E22">
        <w:rPr>
          <w:rFonts w:ascii="Sylfaen" w:hAnsi="Sylfaen" w:cstheme="minorHAnsi"/>
          <w:sz w:val="22"/>
          <w:szCs w:val="22"/>
          <w:lang w:val="hy-AM"/>
        </w:rPr>
        <w:t>փորձ նախագծա-նախահաշվային</w:t>
      </w:r>
      <w:r w:rsidR="00FA6EF5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DA422E">
        <w:rPr>
          <w:rFonts w:ascii="Sylfaen" w:hAnsi="Sylfaen" w:cstheme="minorHAnsi"/>
          <w:sz w:val="22"/>
          <w:szCs w:val="22"/>
          <w:lang w:val="hy-AM"/>
        </w:rPr>
        <w:t>փաստաթղթերի տեխնիկական փորձաքննության ծառայությունների կատարման ոլորտում</w:t>
      </w:r>
      <w:r w:rsidR="00551E22">
        <w:rPr>
          <w:rFonts w:ascii="Sylfaen" w:hAnsi="Sylfaen" w:cstheme="minorHAnsi"/>
          <w:sz w:val="22"/>
          <w:szCs w:val="22"/>
          <w:lang w:val="hy-AM"/>
        </w:rPr>
        <w:t>;</w:t>
      </w:r>
    </w:p>
    <w:p w14:paraId="02AEC807" w14:textId="77777777" w:rsidR="00551E22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անձնակազմ;</w:t>
      </w:r>
    </w:p>
    <w:p w14:paraId="583CAF88" w14:textId="77777777" w:rsidR="00C87AF7" w:rsidRDefault="00C87AF7" w:rsidP="0093086A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3766C22" w14:textId="28C63AFA" w:rsidR="00C87AF7" w:rsidRDefault="0093086A" w:rsidP="00C87AF7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Սույն նախաորակավորման ընթացակարգին </w:t>
      </w:r>
      <w:r w:rsidR="00C87AF7">
        <w:rPr>
          <w:rFonts w:ascii="Sylfaen" w:hAnsi="Sylfaen" w:cstheme="minorHAnsi"/>
          <w:sz w:val="22"/>
          <w:szCs w:val="22"/>
          <w:lang w:val="hy-AM"/>
        </w:rPr>
        <w:t xml:space="preserve">մասնակցելու </w:t>
      </w:r>
      <w:r>
        <w:rPr>
          <w:rFonts w:ascii="Sylfaen" w:hAnsi="Sylfaen" w:cstheme="minorHAnsi"/>
          <w:sz w:val="22"/>
          <w:szCs w:val="22"/>
          <w:lang w:val="hy-AM"/>
        </w:rPr>
        <w:t>իրավունք չունեն</w:t>
      </w:r>
      <w:r w:rsidR="00D446EC">
        <w:rPr>
          <w:rFonts w:ascii="Sylfaen" w:hAnsi="Sylfaen" w:cstheme="minorHAnsi"/>
          <w:sz w:val="22"/>
          <w:szCs w:val="22"/>
          <w:lang w:val="hy-AM"/>
        </w:rPr>
        <w:t xml:space="preserve"> այն Հայտատուները, որոնք՝</w:t>
      </w:r>
    </w:p>
    <w:p w14:paraId="6B067F8A" w14:textId="2BA19072" w:rsidR="0093086A" w:rsidRPr="0093086A" w:rsidRDefault="0093086A" w:rsidP="0093086A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9B9DE0D" w14:textId="12C809CC" w:rsidR="00720081" w:rsidRDefault="00D97CDD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</w:t>
      </w:r>
      <w:r w:rsidR="00945E88">
        <w:rPr>
          <w:rFonts w:ascii="Sylfaen" w:hAnsi="Sylfaen" w:cstheme="minorHAnsi"/>
          <w:sz w:val="22"/>
          <w:szCs w:val="22"/>
          <w:lang w:val="hy-AM"/>
        </w:rPr>
        <w:t>ւ</w:t>
      </w:r>
      <w:r w:rsidR="00720081" w:rsidRPr="00AA321A">
        <w:rPr>
          <w:rFonts w:ascii="Sylfaen" w:hAnsi="Sylfaen" w:cstheme="minorHAnsi"/>
          <w:sz w:val="22"/>
          <w:szCs w:val="22"/>
          <w:lang w:val="hy-AM"/>
        </w:rPr>
        <w:t xml:space="preserve">նեն </w:t>
      </w:r>
      <w:r w:rsidR="00945E88">
        <w:rPr>
          <w:rFonts w:ascii="Sylfaen" w:hAnsi="Sylfaen" w:cstheme="minorHAnsi"/>
          <w:sz w:val="22"/>
          <w:szCs w:val="22"/>
          <w:lang w:val="hy-AM"/>
        </w:rPr>
        <w:t xml:space="preserve">այլ </w:t>
      </w:r>
      <w:r w:rsidR="00720081" w:rsidRPr="00AA321A">
        <w:rPr>
          <w:rFonts w:ascii="Sylfaen" w:hAnsi="Sylfaen" w:cstheme="minorHAnsi"/>
          <w:sz w:val="22"/>
          <w:szCs w:val="22"/>
          <w:lang w:val="hy-AM"/>
        </w:rPr>
        <w:t>Պատվիրատուների կողմից կասեցված պայմանագրեր վերջին երեք տարիների ընթացքում</w:t>
      </w:r>
      <w:r w:rsidR="00945E88">
        <w:rPr>
          <w:rFonts w:ascii="Sylfaen" w:hAnsi="Sylfaen" w:cstheme="minorHAnsi"/>
          <w:sz w:val="22"/>
          <w:szCs w:val="22"/>
          <w:lang w:val="hy-AM"/>
        </w:rPr>
        <w:t>;</w:t>
      </w:r>
    </w:p>
    <w:p w14:paraId="05ED1EA4" w14:textId="2A95C220" w:rsidR="00EF5E18" w:rsidRPr="00CF4A1C" w:rsidRDefault="00EF5E1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B13DAC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ունեն մրցութային և պայմանագրային գործընթացների հետ կապված դատական գործառույթներ </w:t>
      </w:r>
      <w:r w:rsidR="008A25FE" w:rsidRPr="00CF4A1C">
        <w:rPr>
          <w:rFonts w:ascii="Sylfaen" w:hAnsi="Sylfaen" w:cstheme="minorHAnsi"/>
          <w:sz w:val="22"/>
          <w:szCs w:val="22"/>
          <w:lang w:val="hy-AM"/>
        </w:rPr>
        <w:t xml:space="preserve">“VEOLIA EAU – COMPAGNIE GENERALE DES EAUX” (Ֆրանսիա) </w:t>
      </w:r>
      <w:r w:rsidRPr="00CF4A1C">
        <w:rPr>
          <w:rFonts w:ascii="Sylfaen" w:hAnsi="Sylfaen" w:cstheme="minorHAnsi"/>
          <w:sz w:val="22"/>
          <w:szCs w:val="22"/>
          <w:lang w:val="hy-AM"/>
        </w:rPr>
        <w:t xml:space="preserve">և </w:t>
      </w:r>
      <w:r w:rsidR="008A25FE" w:rsidRPr="00CF4A1C">
        <w:rPr>
          <w:rFonts w:ascii="Sylfaen" w:hAnsi="Sylfaen" w:cstheme="minorHAnsi"/>
          <w:sz w:val="22"/>
          <w:szCs w:val="22"/>
          <w:lang w:val="hy-AM"/>
        </w:rPr>
        <w:t xml:space="preserve">դրա </w:t>
      </w:r>
      <w:r w:rsidRPr="00CF4A1C">
        <w:rPr>
          <w:rFonts w:ascii="Sylfaen" w:hAnsi="Sylfaen" w:cstheme="minorHAnsi"/>
          <w:sz w:val="22"/>
          <w:szCs w:val="22"/>
          <w:lang w:val="hy-AM"/>
        </w:rPr>
        <w:t>մասնաճյուղերի հետ;</w:t>
      </w:r>
    </w:p>
    <w:p w14:paraId="74BD2FE6" w14:textId="4CAC0440" w:rsidR="00EF5E18" w:rsidRDefault="00FA6EF5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ներգրավված չեն</w:t>
      </w:r>
      <w:r w:rsidR="00EF5E18" w:rsidRPr="000B7F2F">
        <w:rPr>
          <w:rFonts w:ascii="Sylfaen" w:hAnsi="Sylfaen" w:cstheme="minorHAnsi"/>
          <w:sz w:val="22"/>
          <w:szCs w:val="22"/>
          <w:lang w:val="hy-AM"/>
        </w:rPr>
        <w:t xml:space="preserve"> միջազգային դոնոր կազմակերպությունների և ՀՀ ֆինանսների նախարարության սև ցուցակներում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18E37ED9" w14:textId="47234F4F" w:rsidR="00EF5E1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դատական կարգով ճանաչվել են </w:t>
      </w:r>
      <w:r w:rsidR="00EF5E18" w:rsidRPr="00A6713B">
        <w:rPr>
          <w:rFonts w:ascii="Sylfaen" w:hAnsi="Sylfaen" w:cstheme="minorHAnsi"/>
          <w:sz w:val="22"/>
          <w:szCs w:val="22"/>
          <w:lang w:val="hy-AM"/>
        </w:rPr>
        <w:t>սնանկ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30A657DA" w14:textId="6A6CDB70" w:rsidR="00945E8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ունեն ժամկետանց պարտքեր Հայաստանի Հանրապետության հարկային և պարտադիր սոցիալական ապահովության վճարների գծով;</w:t>
      </w:r>
    </w:p>
    <w:p w14:paraId="6A85FAB5" w14:textId="30E81CFA" w:rsidR="00EF5E18" w:rsidRPr="00EF5E1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ունեն շահերի բախում՝</w:t>
      </w:r>
    </w:p>
    <w:p w14:paraId="37AFE819" w14:textId="3DD30C21" w:rsidR="004757EA" w:rsidRPr="009E5A78" w:rsidRDefault="004757EA" w:rsidP="008301D4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14:paraId="140D47DA" w14:textId="5FE90921" w:rsidR="00EF5E18" w:rsidRDefault="004757EA" w:rsidP="008301D4">
      <w:pPr>
        <w:numPr>
          <w:ilvl w:val="0"/>
          <w:numId w:val="27"/>
        </w:numPr>
        <w:ind w:left="135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EF5E18">
        <w:rPr>
          <w:rFonts w:ascii="Sylfaen" w:hAnsi="Sylfaen" w:cstheme="minorHAnsi"/>
          <w:sz w:val="22"/>
          <w:szCs w:val="22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հրավերի կազմման կամ տեխնիկական բնութագրերի և չափորոշիչների պատրաստման գործընթացներին</w:t>
      </w:r>
      <w:r w:rsidR="00EF5E18" w:rsidRP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5C8A34E9" w14:textId="0A102DAE" w:rsidR="004757EA" w:rsidRPr="00EF5E18" w:rsidRDefault="004757EA" w:rsidP="008301D4">
      <w:pPr>
        <w:numPr>
          <w:ilvl w:val="0"/>
          <w:numId w:val="27"/>
        </w:numPr>
        <w:ind w:left="135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EF5E18">
        <w:rPr>
          <w:rFonts w:ascii="Sylfaen" w:hAnsi="Sylfaen" w:cstheme="minorHAnsi"/>
          <w:sz w:val="22"/>
          <w:szCs w:val="22"/>
          <w:lang w:val="hy-AM"/>
        </w:rPr>
        <w:t xml:space="preserve">Շահերի բախում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</w:t>
      </w:r>
      <w:r w:rsidR="00FA3D2C" w:rsidRPr="00EF5E18">
        <w:rPr>
          <w:rFonts w:ascii="Sylfaen" w:hAnsi="Sylfaen" w:cstheme="minorHAnsi"/>
          <w:sz w:val="22"/>
          <w:szCs w:val="22"/>
          <w:lang w:val="hy-AM"/>
        </w:rPr>
        <w:t>հրավերով սահմանված չափորոշիչները</w:t>
      </w:r>
      <w:r w:rsidRPr="00EF5E18">
        <w:rPr>
          <w:rFonts w:ascii="Sylfaen" w:hAnsi="Sylfaen" w:cstheme="minorHAnsi"/>
          <w:sz w:val="22"/>
          <w:szCs w:val="22"/>
          <w:lang w:val="hy-AM"/>
        </w:rPr>
        <w:t xml:space="preserve"> կամ կազմել է տեխնիկական</w:t>
      </w:r>
      <w:r w:rsidR="00FA3D2C" w:rsidRPr="00EF5E18">
        <w:rPr>
          <w:rFonts w:ascii="Sylfaen" w:hAnsi="Sylfaen" w:cstheme="minorHAnsi"/>
          <w:sz w:val="22"/>
          <w:szCs w:val="22"/>
          <w:lang w:val="hy-AM"/>
        </w:rPr>
        <w:t xml:space="preserve"> մասնագրերը և պահանջները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3D1CA9C2" w14:textId="79C1D1FD" w:rsidR="004757EA" w:rsidRPr="009E5A78" w:rsidRDefault="004757EA" w:rsidP="008301D4">
      <w:pPr>
        <w:numPr>
          <w:ilvl w:val="0"/>
          <w:numId w:val="27"/>
        </w:numPr>
        <w:ind w:left="144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 xml:space="preserve">Շահերի բախում է համարվում, եթե Հայտատուներն ունեն սերտ բիզնես կամ ընտանեկան հարաբերություններ </w:t>
      </w:r>
      <w:r w:rsidR="00591088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 w:rsidRPr="009E5A78">
        <w:rPr>
          <w:rFonts w:ascii="Sylfaen" w:hAnsi="Sylfaen" w:cstheme="minorHAnsi"/>
          <w:sz w:val="22"/>
          <w:szCs w:val="22"/>
          <w:lang w:val="hy-AM"/>
        </w:rPr>
        <w:t>մասնագիտական</w:t>
      </w:r>
      <w:r w:rsidR="0059108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անձնակազմի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հետ, որոնք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ուղղակի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կամ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անուղղակի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են սույն նախաորակորման փաստաթղթերի, պատրաստման և հայտերի գնահատման մեջ կամ հետագայում կներգրավվեն աշխատանքների վերահսկման ծառայությո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ւնների մատուցման գործառույթների իրականացմանը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, բացառությամբ այն դեպքերի, երբ այդ հարաբերություններից բխող հակամարտությունը </w:t>
      </w:r>
      <w:r w:rsidR="00591088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համար ընդունելի ձևով կարգավորվել է նախնական որակավորման, մրցույթների և պայմանագրերի իրականացման ընթացքում:</w:t>
      </w:r>
    </w:p>
    <w:p w14:paraId="6AB20D47" w14:textId="77777777" w:rsidR="00FA3D2C" w:rsidRPr="008301D4" w:rsidRDefault="00FA3D2C" w:rsidP="00FA3D2C">
      <w:pPr>
        <w:contextualSpacing/>
        <w:jc w:val="left"/>
        <w:rPr>
          <w:rFonts w:ascii="Sylfaen" w:hAnsi="Sylfaen" w:cstheme="minorHAnsi"/>
          <w:b/>
          <w:sz w:val="22"/>
          <w:szCs w:val="22"/>
          <w:lang w:val="hy-AM"/>
        </w:rPr>
      </w:pPr>
    </w:p>
    <w:p w14:paraId="79752D77" w14:textId="5D21BF03" w:rsidR="00D446EC" w:rsidRPr="009E5A78" w:rsidRDefault="00D446EC" w:rsidP="00D446EC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4</w:t>
      </w:r>
      <w:r w:rsidR="008A25FE">
        <w:rPr>
          <w:rFonts w:ascii="Sylfaen" w:hAnsi="Sylfaen" w:cstheme="minorHAnsi"/>
          <w:b/>
          <w:sz w:val="22"/>
          <w:szCs w:val="22"/>
          <w:lang w:val="hy-AM"/>
        </w:rPr>
        <w:t>: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b/>
          <w:sz w:val="22"/>
          <w:szCs w:val="22"/>
          <w:lang w:val="hy-AM"/>
        </w:rPr>
        <w:t>ՀԱՅՏԱՏՈՒՆԵՐԻ ԿՈՂՄԻՑ ՆԵՐԿԱՅԱՑՎԵԼԻՔ ՓԱՍՏԱԹՂԹԵՐ</w:t>
      </w:r>
    </w:p>
    <w:p w14:paraId="1F5E2AD7" w14:textId="77777777" w:rsidR="00D446EC" w:rsidRPr="009E5A78" w:rsidRDefault="00D446EC" w:rsidP="00D446EC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7A9E3046" w14:textId="341605F8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 xml:space="preserve">Դիմում սույն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նախաորակավորման </w:t>
      </w:r>
      <w:r w:rsidRPr="009E5A78">
        <w:rPr>
          <w:rFonts w:ascii="Sylfaen" w:hAnsi="Sylfaen" w:cstheme="minorHAnsi"/>
          <w:sz w:val="22"/>
          <w:szCs w:val="22"/>
          <w:lang w:val="hy-AM"/>
        </w:rPr>
        <w:t>մրցույթին մասնակցելու շահագրգռվածության և դրա պահ</w:t>
      </w:r>
      <w:r w:rsidR="004C372D">
        <w:rPr>
          <w:rFonts w:ascii="Sylfaen" w:hAnsi="Sylfaen" w:cstheme="minorHAnsi"/>
          <w:sz w:val="22"/>
          <w:szCs w:val="22"/>
          <w:lang w:val="hy-AM"/>
        </w:rPr>
        <w:t>անջներին բավարարելու վերաբերյալ;</w:t>
      </w:r>
    </w:p>
    <w:p w14:paraId="21AEFA26" w14:textId="65613A02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Պետական ռեգիստրի վկայական, կանոնադրություն, բա</w:t>
      </w:r>
      <w:r w:rsidR="004C372D">
        <w:rPr>
          <w:rFonts w:ascii="Sylfaen" w:hAnsi="Sylfaen" w:cstheme="minorHAnsi"/>
          <w:sz w:val="22"/>
          <w:szCs w:val="22"/>
          <w:lang w:val="hy-AM"/>
        </w:rPr>
        <w:t>ժնետերերի մասին տեղեկատվություն;</w:t>
      </w:r>
    </w:p>
    <w:p w14:paraId="50BF3C13" w14:textId="1BD4E31B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</w:t>
      </w:r>
      <w:r w:rsidR="004C372D">
        <w:rPr>
          <w:rFonts w:ascii="Sylfaen" w:hAnsi="Sylfaen" w:cstheme="minorHAnsi"/>
          <w:sz w:val="22"/>
          <w:szCs w:val="22"/>
          <w:lang w:val="hy-AM"/>
        </w:rPr>
        <w:t>ցված հարկային մարմինների կողմից;</w:t>
      </w:r>
    </w:p>
    <w:p w14:paraId="10859CFD" w14:textId="74C7BE95" w:rsidR="00D446EC" w:rsidRPr="002A16D0" w:rsidRDefault="00D446EC" w:rsidP="002826B3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2A16D0">
        <w:rPr>
          <w:rFonts w:ascii="Sylfaen" w:hAnsi="Sylfaen" w:cstheme="minorHAnsi"/>
          <w:sz w:val="22"/>
          <w:szCs w:val="22"/>
          <w:lang w:val="hy-AM"/>
        </w:rPr>
        <w:t xml:space="preserve">Վերջին </w:t>
      </w:r>
      <w:r w:rsidR="00820A8F" w:rsidRPr="002A16D0">
        <w:rPr>
          <w:rFonts w:ascii="Sylfaen" w:hAnsi="Sylfaen" w:cstheme="minorHAnsi"/>
          <w:sz w:val="22"/>
          <w:szCs w:val="22"/>
          <w:lang w:val="hy-AM"/>
        </w:rPr>
        <w:t>5</w:t>
      </w:r>
      <w:r w:rsidRPr="002A16D0">
        <w:rPr>
          <w:rFonts w:ascii="Sylfaen" w:hAnsi="Sylfaen" w:cstheme="minorHAnsi"/>
          <w:sz w:val="22"/>
          <w:szCs w:val="22"/>
          <w:lang w:val="hy-AM"/>
        </w:rPr>
        <w:t xml:space="preserve"> տարիներում մատուցված ընդհանուր ծառայությունների</w:t>
      </w:r>
      <w:r w:rsidR="002A16D0" w:rsidRPr="002A16D0">
        <w:rPr>
          <w:rFonts w:ascii="Sylfaen" w:hAnsi="Sylfaen" w:cstheme="minorHAnsi"/>
          <w:sz w:val="22"/>
          <w:szCs w:val="22"/>
          <w:lang w:val="hy-AM"/>
        </w:rPr>
        <w:t xml:space="preserve"> ծավալները, ընդ որում</w:t>
      </w:r>
      <w:r w:rsidR="002A16D0">
        <w:rPr>
          <w:rFonts w:ascii="Sylfaen" w:hAnsi="Sylfaen" w:cstheme="minorHAnsi"/>
          <w:sz w:val="22"/>
          <w:szCs w:val="22"/>
          <w:lang w:val="hy-AM"/>
        </w:rPr>
        <w:t xml:space="preserve"> վերջին</w:t>
      </w:r>
      <w:r w:rsidRPr="002A16D0">
        <w:rPr>
          <w:rFonts w:ascii="Sylfaen" w:hAnsi="Sylfaen" w:cstheme="minorHAnsi"/>
          <w:sz w:val="22"/>
          <w:szCs w:val="22"/>
          <w:lang w:val="hy-AM"/>
        </w:rPr>
        <w:t xml:space="preserve"> մեկ տարվա ընթացքում կատարված աշխատանքների արժեքը լինի ոչ պակաս, քան 1 մլն</w:t>
      </w:r>
      <w:r w:rsidRPr="002A16D0">
        <w:rPr>
          <w:sz w:val="22"/>
          <w:szCs w:val="22"/>
          <w:lang w:val="hy-AM"/>
        </w:rPr>
        <w:t>․</w:t>
      </w:r>
      <w:r w:rsidRPr="002A16D0">
        <w:rPr>
          <w:rFonts w:ascii="Sylfaen" w:hAnsi="Sylfaen" w:cs="Sylfaen"/>
          <w:sz w:val="22"/>
          <w:szCs w:val="22"/>
          <w:lang w:val="hy-AM"/>
        </w:rPr>
        <w:t>ՀՀ</w:t>
      </w:r>
      <w:r w:rsidRPr="002A16D0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2A16D0">
        <w:rPr>
          <w:rFonts w:ascii="Sylfaen" w:hAnsi="Sylfaen" w:cs="Sylfaen"/>
          <w:sz w:val="22"/>
          <w:szCs w:val="22"/>
          <w:lang w:val="hy-AM"/>
        </w:rPr>
        <w:t>դրամը</w:t>
      </w:r>
    </w:p>
    <w:p w14:paraId="7F7BBCAB" w14:textId="77777777" w:rsidR="00D446EC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Հիմնական աշխատակազմ</w:t>
      </w:r>
      <w:r>
        <w:rPr>
          <w:rFonts w:ascii="Sylfaen" w:hAnsi="Sylfaen" w:cstheme="minorHAnsi"/>
          <w:sz w:val="22"/>
          <w:szCs w:val="22"/>
          <w:lang w:val="hy-AM"/>
        </w:rPr>
        <w:t>ի կենսագրական թերթիկները՝</w:t>
      </w:r>
    </w:p>
    <w:p w14:paraId="4901F850" w14:textId="77777777" w:rsidR="00D446EC" w:rsidRDefault="00D446EC" w:rsidP="00D446EC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4456"/>
        <w:gridCol w:w="2970"/>
      </w:tblGrid>
      <w:tr w:rsidR="00D446EC" w:rsidRPr="00113F6E" w14:paraId="6E393BB4" w14:textId="77777777" w:rsidTr="002A16D0">
        <w:tc>
          <w:tcPr>
            <w:tcW w:w="4456" w:type="dxa"/>
            <w:shd w:val="clear" w:color="auto" w:fill="auto"/>
          </w:tcPr>
          <w:p w14:paraId="6B9FE934" w14:textId="77777777" w:rsidR="00D446EC" w:rsidRPr="002A16D0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Մասնագիտություն</w:t>
            </w:r>
          </w:p>
        </w:tc>
        <w:tc>
          <w:tcPr>
            <w:tcW w:w="2970" w:type="dxa"/>
            <w:shd w:val="clear" w:color="auto" w:fill="auto"/>
          </w:tcPr>
          <w:p w14:paraId="70C26F6A" w14:textId="77777777" w:rsidR="00D446EC" w:rsidRPr="002A16D0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ru-RU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Փորձառություն </w:t>
            </w:r>
            <w:r w:rsidRPr="002A16D0">
              <w:rPr>
                <w:rFonts w:ascii="Sylfaen" w:hAnsi="Sylfaen" w:cstheme="minorHAnsi"/>
                <w:sz w:val="22"/>
                <w:szCs w:val="22"/>
                <w:lang w:val="ru-RU"/>
              </w:rPr>
              <w:t>(</w:t>
            </w: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տարի</w:t>
            </w:r>
            <w:r w:rsidRPr="002A16D0">
              <w:rPr>
                <w:rFonts w:ascii="Sylfaen" w:hAnsi="Sylfaen" w:cstheme="minorHAnsi"/>
                <w:sz w:val="22"/>
                <w:szCs w:val="22"/>
                <w:lang w:val="ru-RU"/>
              </w:rPr>
              <w:t>)</w:t>
            </w:r>
          </w:p>
        </w:tc>
      </w:tr>
      <w:tr w:rsidR="00D446EC" w:rsidRPr="00113F6E" w14:paraId="20212D86" w14:textId="77777777" w:rsidTr="002A16D0">
        <w:tc>
          <w:tcPr>
            <w:tcW w:w="4456" w:type="dxa"/>
            <w:shd w:val="clear" w:color="auto" w:fill="auto"/>
          </w:tcPr>
          <w:p w14:paraId="473B69E6" w14:textId="689A99A6" w:rsidR="00D446EC" w:rsidRPr="002A16D0" w:rsidRDefault="00D446EC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Գլխավոր Ինժեներ</w:t>
            </w:r>
            <w:r w:rsidR="002A16D0"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, փորձագետ</w:t>
            </w:r>
          </w:p>
        </w:tc>
        <w:tc>
          <w:tcPr>
            <w:tcW w:w="2970" w:type="dxa"/>
            <w:shd w:val="clear" w:color="auto" w:fill="auto"/>
          </w:tcPr>
          <w:p w14:paraId="4D5A66A9" w14:textId="2EEC125A" w:rsidR="00D446EC" w:rsidRPr="002A16D0" w:rsidRDefault="00D446EC" w:rsidP="00113F6E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1</w:t>
            </w:r>
            <w:r w:rsidR="00113F6E"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0</w:t>
            </w:r>
          </w:p>
        </w:tc>
      </w:tr>
      <w:tr w:rsidR="00D446EC" w:rsidRPr="00113F6E" w14:paraId="3400EEAB" w14:textId="77777777" w:rsidTr="002A16D0">
        <w:tc>
          <w:tcPr>
            <w:tcW w:w="4456" w:type="dxa"/>
            <w:shd w:val="clear" w:color="auto" w:fill="auto"/>
          </w:tcPr>
          <w:p w14:paraId="33DC3623" w14:textId="233574AA" w:rsidR="00D446EC" w:rsidRPr="002A16D0" w:rsidRDefault="00113F6E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Ինժեներ-հիդրոշինարար</w:t>
            </w:r>
            <w:r w:rsidR="002A16D0"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, փորձագետ</w:t>
            </w:r>
          </w:p>
        </w:tc>
        <w:tc>
          <w:tcPr>
            <w:tcW w:w="2970" w:type="dxa"/>
            <w:shd w:val="clear" w:color="auto" w:fill="auto"/>
          </w:tcPr>
          <w:p w14:paraId="2215A8FE" w14:textId="77777777" w:rsidR="00D446EC" w:rsidRPr="002A16D0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10</w:t>
            </w:r>
          </w:p>
        </w:tc>
      </w:tr>
      <w:tr w:rsidR="00113F6E" w:rsidRPr="00113F6E" w14:paraId="6A047FE8" w14:textId="77777777" w:rsidTr="002A16D0">
        <w:tc>
          <w:tcPr>
            <w:tcW w:w="4456" w:type="dxa"/>
            <w:shd w:val="clear" w:color="auto" w:fill="auto"/>
          </w:tcPr>
          <w:p w14:paraId="3A046AA4" w14:textId="08754DFF" w:rsidR="00113F6E" w:rsidRPr="002A16D0" w:rsidRDefault="00113F6E" w:rsidP="002A16D0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Նախահաշվի և ծավալային արժեքների </w:t>
            </w:r>
            <w:r w:rsidR="002A16D0"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փորձաքննության</w:t>
            </w: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 մասնագետ</w:t>
            </w:r>
          </w:p>
        </w:tc>
        <w:tc>
          <w:tcPr>
            <w:tcW w:w="2970" w:type="dxa"/>
            <w:shd w:val="clear" w:color="auto" w:fill="auto"/>
          </w:tcPr>
          <w:p w14:paraId="567BE4C7" w14:textId="398BE21F" w:rsidR="00113F6E" w:rsidRPr="002A16D0" w:rsidRDefault="00113F6E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2A16D0">
              <w:rPr>
                <w:rFonts w:ascii="Sylfaen" w:hAnsi="Sylfaen" w:cstheme="minorHAnsi"/>
                <w:sz w:val="22"/>
                <w:szCs w:val="22"/>
                <w:lang w:val="hy-AM"/>
              </w:rPr>
              <w:t>7</w:t>
            </w:r>
          </w:p>
        </w:tc>
      </w:tr>
    </w:tbl>
    <w:p w14:paraId="1F69EA53" w14:textId="77777777" w:rsidR="00D446EC" w:rsidRDefault="00D446EC" w:rsidP="00D446EC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p w14:paraId="7E896F06" w14:textId="77777777" w:rsidR="00D446EC" w:rsidRDefault="00D446EC" w:rsidP="008301D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403B3E9B" w14:textId="77777777" w:rsidR="00FA3D2C" w:rsidRPr="009E5A78" w:rsidRDefault="00FA3D2C" w:rsidP="00FA3D2C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616440DD" w14:textId="72DA8E9D" w:rsidR="00D446EC" w:rsidRPr="00D446EC" w:rsidRDefault="00D446EC" w:rsidP="00D446EC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="00486399"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 w:rsidR="00486399"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14:paraId="5F5A8124" w14:textId="77777777" w:rsidR="00BC22D3" w:rsidRDefault="00BC22D3" w:rsidP="005D0B54">
      <w:pPr>
        <w:rPr>
          <w:rFonts w:ascii="Sylfaen" w:hAnsi="Sylfaen" w:cstheme="minorHAnsi"/>
          <w:sz w:val="22"/>
          <w:szCs w:val="22"/>
          <w:lang w:val="hy-AM"/>
        </w:rPr>
      </w:pPr>
    </w:p>
    <w:p w14:paraId="2E7FF826" w14:textId="62C605F7" w:rsidR="00D446EC" w:rsidRPr="00BC22D3" w:rsidRDefault="00D446EC" w:rsidP="00BC22D3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օրը, վայրը և ժամը սահմանված են նախաորակավորման </w:t>
      </w:r>
      <w:r w:rsidR="004D08FB" w:rsidRPr="00BC22D3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: 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Ն</w:t>
      </w:r>
      <w:r w:rsidRPr="00BC22D3">
        <w:rPr>
          <w:rFonts w:ascii="Sylfaen" w:hAnsi="Sylfaen" w:cs="Times Armenian"/>
          <w:sz w:val="22"/>
          <w:szCs w:val="22"/>
          <w:lang w:val="hy-AM"/>
        </w:rPr>
        <w:t>ախաորակավորման հայտերը բացվում են «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Վեոլիա Ջուր</w:t>
      </w:r>
      <w:r w:rsidRPr="00BC22D3">
        <w:rPr>
          <w:rFonts w:ascii="Sylfaen" w:hAnsi="Sylfaen" w:cs="Times Armenian"/>
          <w:sz w:val="22"/>
          <w:szCs w:val="22"/>
          <w:lang w:val="hy-AM"/>
        </w:rPr>
        <w:t>» ՓԲԸ գլխամասային գրասենյակում</w:t>
      </w:r>
      <w:r w:rsidR="005D0B54" w:rsidRPr="00BC22D3">
        <w:rPr>
          <w:rFonts w:ascii="Sylfaen" w:hAnsi="Sylfaen" w:cstheme="minorHAnsi"/>
          <w:szCs w:val="22"/>
          <w:lang w:val="hy-AM"/>
        </w:rPr>
        <w:t xml:space="preserve"> </w:t>
      </w:r>
      <w:r w:rsidR="000E61E0">
        <w:rPr>
          <w:rFonts w:ascii="Sylfaen" w:hAnsi="Sylfaen" w:cstheme="minorHAnsi"/>
          <w:szCs w:val="22"/>
          <w:lang w:val="hy-AM"/>
        </w:rPr>
        <w:t>ք. Երևան</w:t>
      </w:r>
      <w:r w:rsidR="000E61E0" w:rsidRPr="000E61E0">
        <w:rPr>
          <w:rFonts w:ascii="Sylfaen" w:hAnsi="Sylfaen" w:cstheme="minorHAnsi"/>
          <w:szCs w:val="22"/>
          <w:lang w:val="hy-AM"/>
        </w:rPr>
        <w:t xml:space="preserve">, </w:t>
      </w:r>
      <w:r w:rsidR="000E61E0" w:rsidRPr="000E61E0">
        <w:rPr>
          <w:rFonts w:ascii="Sylfaen" w:hAnsi="Sylfaen" w:cs="Times Armenian"/>
          <w:sz w:val="22"/>
          <w:szCs w:val="22"/>
          <w:lang w:val="hy-AM"/>
        </w:rPr>
        <w:t>Ն. Ադոնցի 6/1շ. 9-րդ հարկ գնումների վարչություն</w:t>
      </w:r>
      <w:r w:rsidR="005D0B54" w:rsidRPr="000E61E0">
        <w:rPr>
          <w:rFonts w:ascii="Sylfaen" w:hAnsi="Sylfaen" w:cs="Times Armenian"/>
          <w:sz w:val="22"/>
          <w:szCs w:val="22"/>
          <w:lang w:val="hy-AM"/>
        </w:rPr>
        <w:t>, 0014, Երևան, ՀՀ</w:t>
      </w:r>
      <w:r w:rsidR="00BC22D3" w:rsidRPr="000E61E0">
        <w:rPr>
          <w:rFonts w:ascii="Sylfaen" w:hAnsi="Sylfaen" w:cs="Times Armenian"/>
          <w:sz w:val="22"/>
          <w:szCs w:val="22"/>
          <w:lang w:val="hy-AM"/>
        </w:rPr>
        <w:t>, 202</w:t>
      </w:r>
      <w:r w:rsidR="007B05DE" w:rsidRPr="000E61E0">
        <w:rPr>
          <w:rFonts w:ascii="Sylfaen" w:hAnsi="Sylfaen" w:cs="Times Armenian"/>
          <w:sz w:val="22"/>
          <w:szCs w:val="22"/>
          <w:lang w:val="hy-AM"/>
        </w:rPr>
        <w:t>1</w:t>
      </w:r>
      <w:r w:rsidR="00BC22D3" w:rsidRPr="000E61E0">
        <w:rPr>
          <w:rFonts w:ascii="Sylfaen" w:hAnsi="Sylfaen" w:cs="Times Armenian"/>
          <w:sz w:val="22"/>
          <w:szCs w:val="22"/>
          <w:lang w:val="hy-AM"/>
        </w:rPr>
        <w:t xml:space="preserve"> թվականի </w:t>
      </w:r>
      <w:r w:rsidR="007B05DE" w:rsidRPr="000E61E0">
        <w:rPr>
          <w:rFonts w:ascii="Sylfaen" w:hAnsi="Sylfaen" w:cs="Times Armenian"/>
          <w:sz w:val="22"/>
          <w:szCs w:val="22"/>
          <w:lang w:val="hy-AM"/>
        </w:rPr>
        <w:t>մարտի</w:t>
      </w:r>
      <w:r w:rsidR="00BC22D3" w:rsidRPr="000E61E0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="000E61E0" w:rsidRPr="000E61E0">
        <w:rPr>
          <w:rFonts w:ascii="Sylfaen" w:hAnsi="Sylfaen" w:cs="Times Armenian"/>
          <w:sz w:val="22"/>
          <w:szCs w:val="22"/>
          <w:lang w:val="hy-AM"/>
        </w:rPr>
        <w:t>23-ին</w:t>
      </w:r>
      <w:r w:rsidR="00DF12B1" w:rsidRPr="000E61E0">
        <w:rPr>
          <w:rFonts w:ascii="Sylfaen" w:hAnsi="Sylfaen" w:cs="Times Armenian"/>
          <w:sz w:val="22"/>
          <w:szCs w:val="22"/>
          <w:lang w:val="hy-AM"/>
        </w:rPr>
        <w:t xml:space="preserve">, </w:t>
      </w:r>
      <w:r w:rsidRPr="000E61E0">
        <w:rPr>
          <w:rFonts w:ascii="Sylfaen" w:hAnsi="Sylfaen" w:cs="Times Armenian"/>
          <w:sz w:val="22"/>
          <w:szCs w:val="22"/>
          <w:lang w:val="hy-AM"/>
        </w:rPr>
        <w:t>ժամը 11:00-ին: Մ</w:t>
      </w:r>
      <w:r w:rsidRPr="00BC22D3">
        <w:rPr>
          <w:rFonts w:ascii="Sylfaen" w:hAnsi="Sylfaen" w:cs="Times Armenian"/>
          <w:sz w:val="22"/>
          <w:szCs w:val="22"/>
          <w:lang w:val="hy-AM"/>
        </w:rPr>
        <w:t>ասնակիցները նախաորակավորման հայտերի բացման նիստին մասնակցելու համար պետք է ներկայա</w:t>
      </w:r>
      <w:r w:rsidR="00DF12B1"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 w:rsidR="00DF12B1"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 w:rsidR="00DF12B1"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14:paraId="41158903" w14:textId="128A490C" w:rsidR="00D446EC" w:rsidRPr="00D446EC" w:rsidRDefault="00D446EC" w:rsidP="00BC22D3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 w:rsidR="00DF12B1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</w:t>
      </w:r>
      <w:r w:rsidR="008839C5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</w:t>
      </w:r>
      <w:r w:rsidR="008839C5"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D446EC">
        <w:rPr>
          <w:rFonts w:ascii="Sylfaen" w:hAnsi="Sylfaen" w:cs="Times Armenian"/>
          <w:sz w:val="22"/>
          <w:szCs w:val="22"/>
          <w:lang w:val="hy-AM"/>
        </w:rPr>
        <w:t>անձնաժողովի կողմից որոշված  ժամանակահատվածով:</w:t>
      </w:r>
    </w:p>
    <w:p w14:paraId="564D99C9" w14:textId="77777777" w:rsidR="00D446EC" w:rsidRDefault="00D446EC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3123A1AE" w14:textId="5B509BE0" w:rsidR="00F5579F" w:rsidRPr="00D446EC" w:rsidRDefault="00F5579F" w:rsidP="00F5579F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6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14:paraId="17A507A9" w14:textId="77777777" w:rsidR="00F5579F" w:rsidRDefault="00F5579F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6506E3EC" w14:textId="61DFAF64" w:rsidR="00F5579F" w:rsidRPr="002A16D0" w:rsidRDefault="00F5579F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2A16D0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</w:t>
      </w:r>
      <w:r w:rsidR="00707521">
        <w:rPr>
          <w:rFonts w:ascii="Sylfaen" w:hAnsi="Sylfaen" w:cstheme="minorHAnsi"/>
          <w:sz w:val="22"/>
          <w:szCs w:val="22"/>
          <w:lang w:val="hy-AM"/>
        </w:rPr>
        <w:t>ներկայաց</w:t>
      </w:r>
      <w:r w:rsidR="000E61E0">
        <w:rPr>
          <w:rFonts w:ascii="Sylfaen" w:hAnsi="Sylfaen" w:cstheme="minorHAnsi"/>
          <w:sz w:val="22"/>
          <w:szCs w:val="22"/>
          <w:lang w:val="hy-AM"/>
        </w:rPr>
        <w:t>վ</w:t>
      </w:r>
      <w:r w:rsidR="00707521">
        <w:rPr>
          <w:rFonts w:ascii="Sylfaen" w:hAnsi="Sylfaen" w:cstheme="minorHAnsi"/>
          <w:sz w:val="22"/>
          <w:szCs w:val="22"/>
          <w:lang w:val="hy-AM"/>
        </w:rPr>
        <w:t>ում են</w:t>
      </w:r>
      <w:r w:rsidRPr="002A16D0">
        <w:rPr>
          <w:rFonts w:ascii="Sylfaen" w:hAnsi="Sylfaen" w:cstheme="minorHAnsi"/>
          <w:sz w:val="22"/>
          <w:szCs w:val="22"/>
          <w:lang w:val="hy-AM"/>
        </w:rPr>
        <w:t xml:space="preserve"> հայտերի բացման նիստի օրը՝ մինչև ժամը 11.00-ն:</w:t>
      </w:r>
    </w:p>
    <w:p w14:paraId="5462BF2B" w14:textId="6DE5B314" w:rsidR="00F5579F" w:rsidRPr="002A16D0" w:rsidRDefault="00F5579F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2A16D0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="005F4CAB" w:rsidRPr="002A16D0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820A8F" w:rsidRPr="002A16D0">
        <w:rPr>
          <w:rFonts w:ascii="Sylfaen" w:hAnsi="Sylfaen" w:cstheme="minorHAnsi"/>
          <w:sz w:val="22"/>
          <w:szCs w:val="22"/>
          <w:lang w:val="hy-AM"/>
        </w:rPr>
        <w:t>:</w:t>
      </w:r>
    </w:p>
    <w:p w14:paraId="6B4CC277" w14:textId="55010522" w:rsidR="00F5579F" w:rsidRPr="00F5579F" w:rsidRDefault="00F5579F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2A16D0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փաստաթղթային</w:t>
      </w:r>
      <w:r w:rsidR="0070752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2A16D0">
        <w:rPr>
          <w:rFonts w:ascii="Sylfaen" w:hAnsi="Sylfaen" w:cstheme="minorHAnsi"/>
          <w:sz w:val="22"/>
          <w:szCs w:val="22"/>
          <w:lang w:val="hy-AM"/>
        </w:rPr>
        <w:t xml:space="preserve">ձևով: </w:t>
      </w:r>
    </w:p>
    <w:p w14:paraId="7ACD3401" w14:textId="24D62942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Ծրարում ներառված փաuտաթղթերը կազմվում են </w:t>
      </w:r>
      <w:r w:rsidRPr="002A16D0">
        <w:rPr>
          <w:rFonts w:ascii="Sylfaen" w:hAnsi="Sylfaen" w:cstheme="minorHAnsi"/>
          <w:sz w:val="22"/>
          <w:szCs w:val="22"/>
          <w:lang w:val="hy-AM"/>
        </w:rPr>
        <w:t>բնoրինակից և երկու պատճեից:</w:t>
      </w:r>
    </w:p>
    <w:p w14:paraId="1AD559FE" w14:textId="4C371D78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Ծրարը և Հրավերով նախատեuված` </w:t>
      </w:r>
      <w:r w:rsidR="00736248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 w:rsidR="00736248"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14:paraId="05EA2052" w14:textId="0415FD1B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Եթե հայտը ներկայացնում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14:paraId="01E6A25D" w14:textId="65FEE730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նշվում են`</w:t>
      </w:r>
    </w:p>
    <w:p w14:paraId="07EF8296" w14:textId="53EEE161" w:rsidR="00F5579F" w:rsidRPr="00736248" w:rsidRDefault="00707521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Պ</w:t>
      </w:r>
      <w:r w:rsidR="00F5579F" w:rsidRPr="00736248">
        <w:rPr>
          <w:rFonts w:ascii="Sylfaen" w:hAnsi="Sylfaen" w:cstheme="minorHAnsi"/>
          <w:sz w:val="22"/>
          <w:szCs w:val="22"/>
          <w:lang w:val="hy-AM"/>
        </w:rPr>
        <w:t>ատվիրատուի անվանումը և հայտի ներկայացման վայրը (հաuցեն),</w:t>
      </w:r>
    </w:p>
    <w:p w14:paraId="39DCD2B6" w14:textId="449CF7AA" w:rsidR="00F5579F" w:rsidRPr="00707521" w:rsidRDefault="00F5579F" w:rsidP="00707521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14:paraId="678C609E" w14:textId="447A9744" w:rsidR="00F5579F" w:rsidRPr="00F5579F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14:paraId="0F6371CE" w14:textId="00F89434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14:paraId="708AA035" w14:textId="13BA274B" w:rsidR="00F5579F" w:rsidRPr="00736248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14:paraId="1E333866" w14:textId="77777777" w:rsidR="00F5579F" w:rsidRPr="007F1449" w:rsidRDefault="00F5579F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62A3FAEC" w14:textId="48DD960C" w:rsidR="00C83A34" w:rsidRDefault="00936E73" w:rsidP="00C83A34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</w:t>
      </w:r>
      <w:r w:rsidR="00C83A34">
        <w:rPr>
          <w:rFonts w:ascii="Sylfaen" w:hAnsi="Sylfaen" w:cstheme="minorHAnsi"/>
          <w:b/>
          <w:sz w:val="22"/>
          <w:szCs w:val="22"/>
          <w:lang w:val="hy-AM"/>
        </w:rPr>
        <w:t>: ՆԱԽԱՈՐԱԿԱՎՈՐՄԱՆ ՀԱՅՏԸ ՄԵՐԺԵԼՈՒ ՀԻՄՔԵՐԸ</w:t>
      </w:r>
    </w:p>
    <w:p w14:paraId="75AE41BC" w14:textId="77777777" w:rsidR="007F1449" w:rsidRPr="002C2970" w:rsidRDefault="007F1449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14:paraId="2FBFB46F" w14:textId="4F5991A9" w:rsidR="00C83A34" w:rsidRPr="002C2970" w:rsidRDefault="00C62972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14:paraId="232424C4" w14:textId="77777777" w:rsidR="00C83A34" w:rsidRPr="007F1449" w:rsidRDefault="00C83A34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152653B0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2589AF00" w14:textId="0BCBD7F1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8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14:paraId="2E0B6B91" w14:textId="77777777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72A67FB" w14:textId="44A00F3C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ընթացակարգում որոշումներն ընդունվում են </w:t>
      </w:r>
      <w:r w:rsidR="008839C5">
        <w:rPr>
          <w:rFonts w:ascii="Sylfaen" w:hAnsi="Sylfaen" w:cstheme="minorHAnsi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14:paraId="00E3B48C" w14:textId="64B60627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</w:t>
      </w:r>
      <w:r w:rsidR="00BA0E44">
        <w:rPr>
          <w:rFonts w:ascii="Sylfaen" w:hAnsi="Sylfaen" w:cstheme="minorHAnsi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>անձնաժողովը հայտարարում է ընդմիջում՝ ներկայացված փաստաթղթերն ուսումնասիրելու նպատակով: Ընդմիջման ժամկետը՝ ներկայացված փաստաթղթերի ուսումնասիրման գործընթացի ժամանակատարությունից կախված</w:t>
      </w:r>
      <w:r w:rsidR="00196C79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196C79">
        <w:rPr>
          <w:rFonts w:ascii="Sylfaen" w:hAnsi="Sylfaen" w:cs="Times Armenian"/>
          <w:sz w:val="22"/>
          <w:szCs w:val="22"/>
          <w:lang w:val="hy-AM"/>
        </w:rPr>
        <w:t>գնահատող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96C79">
        <w:rPr>
          <w:rFonts w:ascii="Sylfaen" w:hAnsi="Sylfaen" w:cstheme="minorHAnsi"/>
          <w:sz w:val="22"/>
          <w:szCs w:val="22"/>
          <w:lang w:val="hy-AM"/>
        </w:rPr>
        <w:t>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կողմից կարող է </w:t>
      </w:r>
      <w:r w:rsidRPr="00DC4C9C">
        <w:rPr>
          <w:rFonts w:ascii="Sylfaen" w:hAnsi="Sylfaen" w:cstheme="minorHAnsi"/>
          <w:sz w:val="22"/>
          <w:szCs w:val="22"/>
          <w:lang w:val="hy-AM"/>
        </w:rPr>
        <w:t>սահմանվել մինչև 10 աշխատանքային օր:</w:t>
      </w:r>
    </w:p>
    <w:p w14:paraId="0E245DF5" w14:textId="2B7FF145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Ընդմիջումը հայտարարվելուց հետո </w:t>
      </w:r>
      <w:r w:rsidR="00196C79">
        <w:rPr>
          <w:rFonts w:ascii="Sylfaen" w:hAnsi="Sylfaen" w:cs="Times Armenian"/>
          <w:sz w:val="22"/>
          <w:szCs w:val="22"/>
          <w:lang w:val="hy-AM"/>
        </w:rPr>
        <w:t>գնահատող Հ</w:t>
      </w:r>
      <w:r w:rsidRPr="003E7064">
        <w:rPr>
          <w:rFonts w:ascii="Sylfaen" w:hAnsi="Sylfaen" w:cstheme="minorHAnsi"/>
          <w:sz w:val="22"/>
          <w:szCs w:val="22"/>
          <w:lang w:val="hy-AM"/>
        </w:rPr>
        <w:t xml:space="preserve">անձնաժողովի անդամներն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չափանիշներին, ապա </w:t>
      </w:r>
      <w:r w:rsidR="00196C79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3E7064">
        <w:rPr>
          <w:rFonts w:ascii="Sylfaen" w:hAnsi="Sylfaen" w:cstheme="minorHAnsi"/>
          <w:sz w:val="22"/>
          <w:szCs w:val="22"/>
          <w:lang w:val="hy-AM"/>
        </w:rPr>
        <w:t>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2435361B" w14:textId="77777777" w:rsidR="003E7064" w:rsidRPr="003E7064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6E01419E" w14:textId="77777777" w:rsidR="003E7064" w:rsidRPr="009E5A78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2826"/>
      </w:tblGrid>
      <w:tr w:rsidR="003E7064" w:rsidRPr="008839C5" w14:paraId="73DCAE8D" w14:textId="77777777" w:rsidTr="00B844CD">
        <w:tc>
          <w:tcPr>
            <w:tcW w:w="554" w:type="dxa"/>
          </w:tcPr>
          <w:p w14:paraId="413F4C19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6520" w:type="dxa"/>
          </w:tcPr>
          <w:p w14:paraId="3457451B" w14:textId="77777777" w:rsidR="003E7064" w:rsidRPr="008839C5" w:rsidRDefault="003E7064" w:rsidP="00B844CD">
            <w:pPr>
              <w:ind w:left="252"/>
              <w:jc w:val="left"/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  <w:t>Հայտատուների որակավորման չափանիշները</w:t>
            </w:r>
          </w:p>
        </w:tc>
        <w:tc>
          <w:tcPr>
            <w:tcW w:w="2826" w:type="dxa"/>
          </w:tcPr>
          <w:p w14:paraId="1302F77A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b/>
                <w:sz w:val="22"/>
                <w:szCs w:val="22"/>
                <w:lang w:val="hy-AM"/>
              </w:rPr>
              <w:t>Առավելագույն միավ</w:t>
            </w:r>
            <w:r w:rsidRPr="008839C5">
              <w:rPr>
                <w:rFonts w:ascii="Sylfaen" w:hAnsi="Sylfaen"/>
                <w:b/>
                <w:sz w:val="22"/>
                <w:szCs w:val="22"/>
                <w:lang w:val="hy-AM"/>
              </w:rPr>
              <w:t>որներ</w:t>
            </w:r>
          </w:p>
        </w:tc>
      </w:tr>
      <w:tr w:rsidR="003E7064" w:rsidRPr="008839C5" w14:paraId="13ECAA0D" w14:textId="77777777" w:rsidTr="00B844CD">
        <w:tc>
          <w:tcPr>
            <w:tcW w:w="554" w:type="dxa"/>
          </w:tcPr>
          <w:p w14:paraId="74215001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1</w:t>
            </w:r>
          </w:p>
        </w:tc>
        <w:tc>
          <w:tcPr>
            <w:tcW w:w="6520" w:type="dxa"/>
          </w:tcPr>
          <w:p w14:paraId="3D072F13" w14:textId="3FD3732A" w:rsidR="003E7064" w:rsidRPr="008839C5" w:rsidRDefault="003E7064" w:rsidP="00B844CD">
            <w:pPr>
              <w:ind w:left="72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="Arial"/>
                <w:sz w:val="22"/>
                <w:szCs w:val="22"/>
                <w:lang w:val="hy-AM"/>
              </w:rPr>
              <w:t xml:space="preserve">Ընկերության </w:t>
            </w: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ընդհանուր փորձը,</w:t>
            </w:r>
            <w:r w:rsidR="00927EE2"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 </w:t>
            </w: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գործունեության հիմնական տեսակը և փորձը ըստ տարիների և ըստ տեսակների, ՀՀ-ում</w:t>
            </w:r>
          </w:p>
        </w:tc>
        <w:tc>
          <w:tcPr>
            <w:tcW w:w="2826" w:type="dxa"/>
          </w:tcPr>
          <w:p w14:paraId="57A5B75B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  <w:p w14:paraId="0B77F488" w14:textId="5C2FD782" w:rsidR="003E7064" w:rsidRPr="008839C5" w:rsidRDefault="00820A8F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3</w:t>
            </w:r>
            <w:r w:rsidR="003E7064"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0</w:t>
            </w:r>
          </w:p>
        </w:tc>
      </w:tr>
      <w:tr w:rsidR="003E7064" w:rsidRPr="008839C5" w14:paraId="6AD267EF" w14:textId="77777777" w:rsidTr="00B844CD">
        <w:tc>
          <w:tcPr>
            <w:tcW w:w="554" w:type="dxa"/>
          </w:tcPr>
          <w:p w14:paraId="79446160" w14:textId="77777777" w:rsidR="003E7064" w:rsidRPr="008839C5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 w:val="22"/>
                <w:szCs w:val="22"/>
                <w:lang w:val="en-US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2</w:t>
            </w:r>
          </w:p>
        </w:tc>
        <w:tc>
          <w:tcPr>
            <w:tcW w:w="6520" w:type="dxa"/>
          </w:tcPr>
          <w:p w14:paraId="177D5FF2" w14:textId="551DBA58" w:rsidR="003E7064" w:rsidRPr="008839C5" w:rsidRDefault="003E7064" w:rsidP="00820A8F">
            <w:pPr>
              <w:ind w:left="72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Վերջին </w:t>
            </w:r>
            <w:r w:rsidR="00820A8F">
              <w:rPr>
                <w:rFonts w:ascii="Sylfaen" w:hAnsi="Sylfaen" w:cstheme="minorHAnsi"/>
                <w:sz w:val="22"/>
                <w:szCs w:val="22"/>
                <w:lang w:val="hy-AM"/>
              </w:rPr>
              <w:t>5</w:t>
            </w: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 տարիներում կատարված համանման աշխատանքների թիվը և ծավալները՝ ՀՀ-ում</w:t>
            </w:r>
            <w:r w:rsidR="00927EE2"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 xml:space="preserve"> ը</w:t>
            </w: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ստ ծրագրերի, տեսակների և տարիների</w:t>
            </w:r>
          </w:p>
        </w:tc>
        <w:tc>
          <w:tcPr>
            <w:tcW w:w="2826" w:type="dxa"/>
          </w:tcPr>
          <w:p w14:paraId="3FD67A04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  <w:p w14:paraId="2213C0A6" w14:textId="61C20ACC" w:rsidR="003E7064" w:rsidRPr="008839C5" w:rsidRDefault="00820A8F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4</w:t>
            </w:r>
            <w:r w:rsidR="003E7064"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0</w:t>
            </w:r>
          </w:p>
        </w:tc>
      </w:tr>
      <w:tr w:rsidR="003E7064" w:rsidRPr="008839C5" w14:paraId="527FEC52" w14:textId="77777777" w:rsidTr="00B844CD">
        <w:tc>
          <w:tcPr>
            <w:tcW w:w="554" w:type="dxa"/>
          </w:tcPr>
          <w:p w14:paraId="40C677B2" w14:textId="1D89D48D" w:rsidR="003E7064" w:rsidRPr="008839C5" w:rsidRDefault="00820A8F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3</w:t>
            </w:r>
          </w:p>
        </w:tc>
        <w:tc>
          <w:tcPr>
            <w:tcW w:w="6520" w:type="dxa"/>
          </w:tcPr>
          <w:p w14:paraId="18EABC09" w14:textId="77777777" w:rsidR="003E7064" w:rsidRPr="008839C5" w:rsidRDefault="003E7064" w:rsidP="00B844CD">
            <w:pPr>
              <w:ind w:left="72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 w:rsidRPr="008839C5">
              <w:rPr>
                <w:rFonts w:ascii="Sylfaen" w:hAnsi="Sylfaen" w:cstheme="minorHAnsi"/>
                <w:sz w:val="22"/>
                <w:szCs w:val="22"/>
                <w:lang w:val="hy-AM"/>
              </w:rPr>
              <w:t>Ընկերության կառավարչական կարողությունները, կառուցվածք, աշխատակազմ, աշխատակիցների թիվ, որակավորում և աշխատանքային փորձ ըստ տարիների</w:t>
            </w:r>
          </w:p>
        </w:tc>
        <w:tc>
          <w:tcPr>
            <w:tcW w:w="2826" w:type="dxa"/>
          </w:tcPr>
          <w:p w14:paraId="003C6CFB" w14:textId="77777777" w:rsidR="003E7064" w:rsidRPr="008839C5" w:rsidRDefault="003E7064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  <w:p w14:paraId="42110553" w14:textId="77777777" w:rsidR="003E7064" w:rsidRDefault="00820A8F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  <w:r>
              <w:rPr>
                <w:rFonts w:ascii="Sylfaen" w:hAnsi="Sylfaen" w:cstheme="minorHAnsi"/>
                <w:sz w:val="22"/>
                <w:szCs w:val="22"/>
                <w:lang w:val="hy-AM"/>
              </w:rPr>
              <w:t>30</w:t>
            </w:r>
          </w:p>
          <w:p w14:paraId="292D8624" w14:textId="0F516EB6" w:rsidR="00820A8F" w:rsidRPr="008839C5" w:rsidRDefault="00820A8F" w:rsidP="00B844CD">
            <w:pPr>
              <w:ind w:left="6"/>
              <w:jc w:val="center"/>
              <w:rPr>
                <w:rFonts w:ascii="Sylfaen" w:hAnsi="Sylfaen" w:cstheme="minorHAnsi"/>
                <w:sz w:val="22"/>
                <w:szCs w:val="22"/>
                <w:lang w:val="hy-AM"/>
              </w:rPr>
            </w:pPr>
          </w:p>
        </w:tc>
      </w:tr>
    </w:tbl>
    <w:p w14:paraId="1099D478" w14:textId="77777777" w:rsidR="003E7064" w:rsidRPr="009E5A78" w:rsidRDefault="003E7064" w:rsidP="003E7064">
      <w:pPr>
        <w:rPr>
          <w:rFonts w:ascii="Sylfaen" w:hAnsi="Sylfaen" w:cstheme="minorHAnsi"/>
          <w:b/>
          <w:sz w:val="22"/>
          <w:szCs w:val="22"/>
          <w:lang w:val="en-US"/>
        </w:rPr>
      </w:pPr>
    </w:p>
    <w:p w14:paraId="7878A86D" w14:textId="77777777" w:rsidR="003E7064" w:rsidRPr="009E5A78" w:rsidRDefault="003E7064" w:rsidP="003E7064">
      <w:pPr>
        <w:rPr>
          <w:rFonts w:ascii="Sylfaen" w:hAnsi="Sylfaen" w:cstheme="minorHAnsi"/>
          <w:sz w:val="22"/>
          <w:szCs w:val="22"/>
          <w:lang w:val="hy-AM"/>
        </w:rPr>
      </w:pPr>
    </w:p>
    <w:p w14:paraId="47E25D93" w14:textId="3ACA8DEE" w:rsidR="003E7064" w:rsidRPr="00FA6EF5" w:rsidRDefault="003E7064" w:rsidP="003E7064">
      <w:pPr>
        <w:ind w:firstLine="720"/>
        <w:rPr>
          <w:rFonts w:ascii="Sylfaen" w:hAnsi="Sylfaen" w:cstheme="minorHAnsi"/>
          <w:sz w:val="22"/>
          <w:szCs w:val="22"/>
          <w:lang w:val="hy-AM"/>
        </w:rPr>
      </w:pPr>
      <w:r w:rsidRPr="00FA6EF5">
        <w:rPr>
          <w:rFonts w:ascii="Sylfaen" w:hAnsi="Sylfaen" w:cstheme="minorHAnsi"/>
          <w:sz w:val="22"/>
          <w:szCs w:val="22"/>
          <w:lang w:val="hy-AM"/>
        </w:rPr>
        <w:t xml:space="preserve">Վերը նշված աշխատանքների համար որակավորված կազմակերպությունների կարճ ցուցակում կներառվեն </w:t>
      </w:r>
      <w:r w:rsidR="00127E38">
        <w:rPr>
          <w:rFonts w:ascii="Sylfaen" w:hAnsi="Sylfaen" w:cstheme="minorHAnsi"/>
          <w:sz w:val="22"/>
          <w:szCs w:val="22"/>
          <w:lang w:val="hy-AM"/>
        </w:rPr>
        <w:t xml:space="preserve">նվազագույնը </w:t>
      </w:r>
      <w:r w:rsidR="00127E38" w:rsidRPr="00127E38">
        <w:rPr>
          <w:rFonts w:ascii="Sylfaen" w:hAnsi="Sylfaen" w:cstheme="minorHAnsi"/>
          <w:b/>
          <w:sz w:val="22"/>
          <w:szCs w:val="22"/>
          <w:lang w:val="hy-AM"/>
        </w:rPr>
        <w:t>50</w:t>
      </w:r>
      <w:r w:rsidR="00127E3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FA6EF5">
        <w:rPr>
          <w:rFonts w:ascii="Sylfaen" w:hAnsi="Sylfaen" w:cstheme="minorHAnsi"/>
          <w:sz w:val="22"/>
          <w:szCs w:val="22"/>
          <w:lang w:val="hy-AM"/>
        </w:rPr>
        <w:t xml:space="preserve">միավորներ հավաքած </w:t>
      </w:r>
      <w:r w:rsidR="00113F6E">
        <w:rPr>
          <w:rFonts w:ascii="Sylfaen" w:hAnsi="Sylfaen" w:cstheme="minorHAnsi"/>
          <w:sz w:val="22"/>
          <w:szCs w:val="22"/>
          <w:lang w:val="hy-AM"/>
        </w:rPr>
        <w:t xml:space="preserve">մինչև </w:t>
      </w:r>
      <w:r w:rsidR="00820A8F">
        <w:rPr>
          <w:rFonts w:ascii="Sylfaen" w:hAnsi="Sylfaen" w:cstheme="minorHAnsi"/>
          <w:sz w:val="22"/>
          <w:szCs w:val="22"/>
          <w:lang w:val="hy-AM"/>
        </w:rPr>
        <w:t>5</w:t>
      </w:r>
      <w:r w:rsidR="00113F6E" w:rsidRPr="00D46674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="00127E38" w:rsidRPr="00127E38">
        <w:rPr>
          <w:rFonts w:ascii="Sylfaen" w:hAnsi="Sylfaen" w:cstheme="minorHAnsi"/>
          <w:sz w:val="22"/>
          <w:szCs w:val="22"/>
          <w:lang w:val="hy-AM"/>
        </w:rPr>
        <w:t>(</w:t>
      </w:r>
      <w:r w:rsidR="00820A8F">
        <w:rPr>
          <w:rFonts w:ascii="Sylfaen" w:hAnsi="Sylfaen" w:cstheme="minorHAnsi"/>
          <w:sz w:val="22"/>
          <w:szCs w:val="22"/>
          <w:lang w:val="hy-AM"/>
        </w:rPr>
        <w:t>հինգ</w:t>
      </w:r>
      <w:r w:rsidR="00127E38" w:rsidRPr="00127E38">
        <w:rPr>
          <w:rFonts w:ascii="Sylfaen" w:hAnsi="Sylfaen" w:cstheme="minorHAnsi"/>
          <w:sz w:val="22"/>
          <w:szCs w:val="22"/>
          <w:lang w:val="hy-AM"/>
        </w:rPr>
        <w:t>)</w:t>
      </w:r>
      <w:r w:rsidR="00127E3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13F6E">
        <w:rPr>
          <w:rFonts w:ascii="Sylfaen" w:hAnsi="Sylfaen" w:cstheme="minorHAnsi"/>
          <w:sz w:val="22"/>
          <w:szCs w:val="22"/>
          <w:lang w:val="hy-AM"/>
        </w:rPr>
        <w:t>ընկերություն</w:t>
      </w:r>
      <w:r w:rsidR="00127E38">
        <w:rPr>
          <w:rFonts w:ascii="Sylfaen" w:hAnsi="Sylfaen" w:cstheme="minorHAnsi"/>
          <w:sz w:val="22"/>
          <w:szCs w:val="22"/>
          <w:lang w:val="hy-AM"/>
        </w:rPr>
        <w:t>ներ:</w:t>
      </w:r>
    </w:p>
    <w:p w14:paraId="176232FC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766DF3AE" w14:textId="54FCBB5C" w:rsidR="00FA6EF5" w:rsidRPr="00D446EC" w:rsidRDefault="00B94450" w:rsidP="00B94450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9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FA6EF5"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14:paraId="38D8DD54" w14:textId="77777777" w:rsidR="00FA6EF5" w:rsidRDefault="00FA6EF5" w:rsidP="008301D4">
      <w:pPr>
        <w:spacing w:line="276" w:lineRule="auto"/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1AEB3B5D" w14:textId="1C4B2849" w:rsidR="00AC5EF6" w:rsidRPr="00936E73" w:rsidRDefault="00AC5EF6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Սույն ընթացակարգում հաղթող ճանաչված մասնակցին սահմանված կարգով կառաջարկվի կնքել Նախագծա-նախահաշվային և հեղինակային հսկողության ծառայությունների ձեռքբերման գնման պայմանագիր (այսուհետև` Պ</w:t>
      </w:r>
      <w:r w:rsidR="00DF2256" w:rsidRPr="00936E73">
        <w:rPr>
          <w:rFonts w:ascii="Sylfaen" w:hAnsi="Sylfaen" w:cs="Times Armenian"/>
          <w:sz w:val="22"/>
          <w:szCs w:val="22"/>
          <w:lang w:val="hy-AM"/>
        </w:rPr>
        <w:t>այմանագիր);</w:t>
      </w:r>
    </w:p>
    <w:p w14:paraId="1AF86D36" w14:textId="6019A648" w:rsidR="00A94C4A" w:rsidRDefault="00A94C4A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F2256">
        <w:rPr>
          <w:rFonts w:ascii="Sylfaen" w:hAnsi="Sylfaen" w:cs="Times Armenian"/>
          <w:sz w:val="22"/>
          <w:szCs w:val="22"/>
          <w:lang w:val="hy-AM"/>
        </w:rPr>
        <w:t>;</w:t>
      </w:r>
    </w:p>
    <w:p w14:paraId="6C4114A6" w14:textId="6F97F881" w:rsidR="00A94C4A" w:rsidRDefault="00A94C4A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Պատվիրատուն պետք է երեք օրացուցային օրվա ընթացքում պատասխանի մասնակցի նախաորակավորման վերաբերյալ պարզաբանումներ տալու հարցմանը, եթե այն 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>ատվիրատուն պետք է ապահովի այդ տեղեկության մատչելիությունը բոլոր հնարավոր մասնակիցների համար</w:t>
      </w:r>
    </w:p>
    <w:p w14:paraId="2EB215CD" w14:textId="363C1A76" w:rsidR="00FA3D2C" w:rsidRDefault="0059238B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94450">
        <w:rPr>
          <w:rFonts w:ascii="Sylfaen" w:hAnsi="Sylfaen" w:cstheme="minorHAnsi"/>
          <w:sz w:val="22"/>
          <w:szCs w:val="22"/>
          <w:lang w:val="hy-AM"/>
        </w:rPr>
        <w:t>Հ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 w:rsidR="00F76E64">
        <w:rPr>
          <w:rFonts w:ascii="Sylfaen" w:hAnsi="Sylfaen" w:cstheme="minorHAnsi"/>
          <w:sz w:val="22"/>
          <w:szCs w:val="22"/>
          <w:lang w:val="hy-AM"/>
        </w:rPr>
        <w:t xml:space="preserve">րացուցիչ տեղեկություններ ստանալ, պարզաբանում ուղարկել և նախաորակավորման հայտը էլեկտրոնային և տպագիր տարբերակով ներկայացնի </w:t>
      </w:r>
      <w:r w:rsidR="001F1631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 w:rsidR="001F1631">
        <w:rPr>
          <w:rFonts w:ascii="Sylfaen" w:hAnsi="Sylfaen" w:cstheme="minorHAnsi"/>
          <w:sz w:val="22"/>
          <w:szCs w:val="22"/>
          <w:lang w:val="hy-AM"/>
        </w:rPr>
        <w:t>ր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 w:rsidR="00F76E64">
        <w:rPr>
          <w:rFonts w:ascii="Sylfaen" w:hAnsi="Sylfaen" w:cstheme="minorHAnsi"/>
          <w:sz w:val="22"/>
          <w:szCs w:val="22"/>
          <w:lang w:val="hy-AM"/>
        </w:rPr>
        <w:t>հասցեով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14:paraId="0EB8AC61" w14:textId="0063C84A" w:rsidR="00F76E64" w:rsidRDefault="00F76E64" w:rsidP="00DF2256">
      <w:p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F0769F8" w14:textId="77777777" w:rsidR="00F76E64" w:rsidRPr="00DF2256" w:rsidRDefault="00F76E64" w:rsidP="00F76E64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00BFC85A" w14:textId="0E72AB13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DF2256">
        <w:rPr>
          <w:rFonts w:ascii="Sylfaen" w:hAnsi="Sylfaen" w:cstheme="minorHAnsi"/>
          <w:sz w:val="22"/>
          <w:szCs w:val="22"/>
          <w:lang w:val="hy-AM"/>
        </w:rPr>
        <w:t>Վեոլիա Ջուր</w:t>
      </w:r>
      <w:r>
        <w:rPr>
          <w:rFonts w:ascii="Sylfaen" w:hAnsi="Sylfaen" w:cstheme="minorHAnsi"/>
          <w:sz w:val="22"/>
          <w:szCs w:val="22"/>
          <w:lang w:val="hy-AM"/>
        </w:rPr>
        <w:t>»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 ՓԲԸ</w:t>
      </w:r>
    </w:p>
    <w:p w14:paraId="15F62205" w14:textId="709ECE4F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 w:rsidRPr="00DF2256">
        <w:rPr>
          <w:rFonts w:ascii="Sylfaen" w:hAnsi="Sylfaen" w:cstheme="minorHAnsi"/>
          <w:sz w:val="22"/>
          <w:szCs w:val="22"/>
          <w:lang w:val="hy-AM"/>
        </w:rPr>
        <w:t>Ն. Ադոնցի 6/1 փող, 0014, Երևան, ՀՀ</w:t>
      </w:r>
    </w:p>
    <w:p w14:paraId="175DA45D" w14:textId="2B5C4E4D" w:rsidR="00DF2256" w:rsidRP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Գնումների վարչություն, 9րդ հարկ, </w:t>
      </w:r>
      <w:r w:rsidR="000E61E0">
        <w:rPr>
          <w:rFonts w:ascii="Sylfaen" w:hAnsi="Sylfaen" w:cstheme="minorHAnsi"/>
          <w:sz w:val="22"/>
          <w:szCs w:val="22"/>
          <w:lang w:val="hy-AM"/>
        </w:rPr>
        <w:t>գնումների վարչություն</w:t>
      </w:r>
    </w:p>
    <w:p w14:paraId="4A641E51" w14:textId="240ADF5A" w:rsidR="00DF2256" w:rsidRPr="000E61E0" w:rsidRDefault="000E61E0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Գնումների մասնագետ, վերլուծաբան, ՄՀ քարտուղար Աննա Տրդատյան</w:t>
      </w:r>
      <w:bookmarkStart w:id="0" w:name="_GoBack"/>
      <w:bookmarkEnd w:id="0"/>
    </w:p>
    <w:p w14:paraId="5258F93F" w14:textId="210B629B" w:rsidR="00DF2256" w:rsidRPr="008A26C1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Հեռ: </w:t>
      </w:r>
      <w:r w:rsidRPr="00DF2256">
        <w:rPr>
          <w:rFonts w:ascii="Sylfaen" w:hAnsi="Sylfaen" w:cstheme="minorHAnsi"/>
          <w:sz w:val="22"/>
          <w:szCs w:val="22"/>
          <w:lang w:val="hy-AM"/>
        </w:rPr>
        <w:t xml:space="preserve">(+374) </w:t>
      </w:r>
      <w:r w:rsidR="000E61E0">
        <w:rPr>
          <w:rFonts w:ascii="Sylfaen" w:hAnsi="Sylfaen" w:cstheme="minorHAnsi"/>
          <w:sz w:val="22"/>
          <w:szCs w:val="22"/>
          <w:lang w:val="hy-AM"/>
        </w:rPr>
        <w:t>091-282332</w:t>
      </w:r>
    </w:p>
    <w:p w14:paraId="639C8EF6" w14:textId="0A72FAE1" w:rsidR="00DF2256" w:rsidRDefault="00DF2256" w:rsidP="00DF2256">
      <w:pPr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Էլ. փոստ: </w:t>
      </w:r>
      <w:r w:rsidR="000E61E0" w:rsidRPr="000E61E0">
        <w:rPr>
          <w:rFonts w:ascii="Sylfaen" w:hAnsi="Sylfaen" w:cstheme="minorHAnsi"/>
          <w:sz w:val="22"/>
          <w:szCs w:val="22"/>
          <w:lang w:val="hy-AM"/>
        </w:rPr>
        <w:t>anna.trdatyan@veolia.com</w:t>
      </w:r>
    </w:p>
    <w:sectPr w:rsidR="00DF2256" w:rsidSect="00762DE3">
      <w:pgSz w:w="12240" w:h="15840"/>
      <w:pgMar w:top="1260" w:right="1440" w:bottom="158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D0"/>
    <w:multiLevelType w:val="multilevel"/>
    <w:tmpl w:val="16447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1D4"/>
    <w:multiLevelType w:val="hybridMultilevel"/>
    <w:tmpl w:val="57A02F58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20B67A0"/>
    <w:multiLevelType w:val="hybridMultilevel"/>
    <w:tmpl w:val="69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CC9"/>
    <w:multiLevelType w:val="hybridMultilevel"/>
    <w:tmpl w:val="E57696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5FA"/>
    <w:multiLevelType w:val="hybridMultilevel"/>
    <w:tmpl w:val="66E85E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CC67253"/>
    <w:multiLevelType w:val="hybridMultilevel"/>
    <w:tmpl w:val="5D643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925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6EC"/>
    <w:multiLevelType w:val="hybridMultilevel"/>
    <w:tmpl w:val="2026D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22B486A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8AA"/>
    <w:multiLevelType w:val="hybridMultilevel"/>
    <w:tmpl w:val="5D0C0E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25539C"/>
    <w:multiLevelType w:val="hybridMultilevel"/>
    <w:tmpl w:val="888CFB0C"/>
    <w:lvl w:ilvl="0" w:tplc="FB0E0CD4">
      <w:start w:val="28"/>
      <w:numFmt w:val="bullet"/>
      <w:lvlText w:val="-"/>
      <w:lvlJc w:val="left"/>
      <w:pPr>
        <w:ind w:left="420" w:hanging="360"/>
      </w:pPr>
      <w:rPr>
        <w:rFonts w:ascii="Sylfaen" w:eastAsia="Times New Roman" w:hAnsi="Sylfaen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2A3449"/>
    <w:multiLevelType w:val="hybridMultilevel"/>
    <w:tmpl w:val="39C21CBA"/>
    <w:lvl w:ilvl="0" w:tplc="DCF2CF4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260C"/>
    <w:multiLevelType w:val="hybridMultilevel"/>
    <w:tmpl w:val="BD66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6BC0"/>
    <w:multiLevelType w:val="hybridMultilevel"/>
    <w:tmpl w:val="F7C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01A5"/>
    <w:multiLevelType w:val="hybridMultilevel"/>
    <w:tmpl w:val="6E8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1128"/>
    <w:multiLevelType w:val="hybridMultilevel"/>
    <w:tmpl w:val="12D86AA2"/>
    <w:lvl w:ilvl="0" w:tplc="FBA47BC8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F3A4236"/>
    <w:multiLevelType w:val="hybridMultilevel"/>
    <w:tmpl w:val="B38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D2E"/>
    <w:multiLevelType w:val="hybridMultilevel"/>
    <w:tmpl w:val="0046B3A8"/>
    <w:lvl w:ilvl="0" w:tplc="0409000F">
      <w:start w:val="1"/>
      <w:numFmt w:val="decimal"/>
      <w:lvlText w:val="%1."/>
      <w:lvlJc w:val="left"/>
      <w:pPr>
        <w:ind w:left="557" w:hanging="360"/>
      </w:p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1" w15:restartNumberingAfterBreak="0">
    <w:nsid w:val="48C5763D"/>
    <w:multiLevelType w:val="multilevel"/>
    <w:tmpl w:val="F57A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Sylfaen" w:hint="default"/>
      </w:rPr>
    </w:lvl>
  </w:abstractNum>
  <w:abstractNum w:abstractNumId="22" w15:restartNumberingAfterBreak="0">
    <w:nsid w:val="4DD4063F"/>
    <w:multiLevelType w:val="hybridMultilevel"/>
    <w:tmpl w:val="C7EAF986"/>
    <w:lvl w:ilvl="0" w:tplc="D74C0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F06BF2"/>
    <w:multiLevelType w:val="hybridMultilevel"/>
    <w:tmpl w:val="C9A6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5" w15:restartNumberingAfterBreak="0">
    <w:nsid w:val="55D22A77"/>
    <w:multiLevelType w:val="hybridMultilevel"/>
    <w:tmpl w:val="C60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D3E5CA7"/>
    <w:multiLevelType w:val="hybridMultilevel"/>
    <w:tmpl w:val="AD74B3E8"/>
    <w:lvl w:ilvl="0" w:tplc="2DFEC68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4AFC"/>
    <w:multiLevelType w:val="hybridMultilevel"/>
    <w:tmpl w:val="E388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E6B99"/>
    <w:multiLevelType w:val="hybridMultilevel"/>
    <w:tmpl w:val="64F4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693B3C9C"/>
    <w:multiLevelType w:val="hybridMultilevel"/>
    <w:tmpl w:val="58761D80"/>
    <w:lvl w:ilvl="0" w:tplc="22C2F450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6A673940"/>
    <w:multiLevelType w:val="hybridMultilevel"/>
    <w:tmpl w:val="4176DFA8"/>
    <w:lvl w:ilvl="0" w:tplc="6C7E80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DFC"/>
    <w:multiLevelType w:val="hybridMultilevel"/>
    <w:tmpl w:val="BBCA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7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364A7"/>
    <w:multiLevelType w:val="hybridMultilevel"/>
    <w:tmpl w:val="CA42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01C54"/>
    <w:multiLevelType w:val="hybridMultilevel"/>
    <w:tmpl w:val="59DEF7B8"/>
    <w:lvl w:ilvl="0" w:tplc="1116F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0" w15:restartNumberingAfterBreak="0">
    <w:nsid w:val="77E44635"/>
    <w:multiLevelType w:val="hybridMultilevel"/>
    <w:tmpl w:val="9ABA3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69D1"/>
    <w:multiLevelType w:val="hybridMultilevel"/>
    <w:tmpl w:val="65886DF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2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544DA"/>
    <w:multiLevelType w:val="hybridMultilevel"/>
    <w:tmpl w:val="43E4D2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4"/>
  </w:num>
  <w:num w:numId="4">
    <w:abstractNumId w:val="36"/>
  </w:num>
  <w:num w:numId="5">
    <w:abstractNumId w:val="14"/>
  </w:num>
  <w:num w:numId="6">
    <w:abstractNumId w:val="22"/>
  </w:num>
  <w:num w:numId="7">
    <w:abstractNumId w:val="31"/>
  </w:num>
  <w:num w:numId="8">
    <w:abstractNumId w:val="11"/>
  </w:num>
  <w:num w:numId="9">
    <w:abstractNumId w:val="39"/>
  </w:num>
  <w:num w:numId="10">
    <w:abstractNumId w:val="9"/>
  </w:num>
  <w:num w:numId="11">
    <w:abstractNumId w:val="25"/>
  </w:num>
  <w:num w:numId="12">
    <w:abstractNumId w:val="28"/>
  </w:num>
  <w:num w:numId="13">
    <w:abstractNumId w:val="0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18"/>
  </w:num>
  <w:num w:numId="19">
    <w:abstractNumId w:val="32"/>
  </w:num>
  <w:num w:numId="20">
    <w:abstractNumId w:val="13"/>
  </w:num>
  <w:num w:numId="21">
    <w:abstractNumId w:val="21"/>
  </w:num>
  <w:num w:numId="22">
    <w:abstractNumId w:val="27"/>
  </w:num>
  <w:num w:numId="23">
    <w:abstractNumId w:val="7"/>
  </w:num>
  <w:num w:numId="24">
    <w:abstractNumId w:val="6"/>
  </w:num>
  <w:num w:numId="25">
    <w:abstractNumId w:val="43"/>
  </w:num>
  <w:num w:numId="26">
    <w:abstractNumId w:val="33"/>
  </w:num>
  <w:num w:numId="27">
    <w:abstractNumId w:val="29"/>
  </w:num>
  <w:num w:numId="28">
    <w:abstractNumId w:val="16"/>
  </w:num>
  <w:num w:numId="29">
    <w:abstractNumId w:val="8"/>
  </w:num>
  <w:num w:numId="30">
    <w:abstractNumId w:val="15"/>
  </w:num>
  <w:num w:numId="31">
    <w:abstractNumId w:val="12"/>
  </w:num>
  <w:num w:numId="32">
    <w:abstractNumId w:val="38"/>
  </w:num>
  <w:num w:numId="33">
    <w:abstractNumId w:val="23"/>
  </w:num>
  <w:num w:numId="34">
    <w:abstractNumId w:val="35"/>
  </w:num>
  <w:num w:numId="35">
    <w:abstractNumId w:val="41"/>
  </w:num>
  <w:num w:numId="36">
    <w:abstractNumId w:val="20"/>
  </w:num>
  <w:num w:numId="37">
    <w:abstractNumId w:val="1"/>
  </w:num>
  <w:num w:numId="38">
    <w:abstractNumId w:val="5"/>
  </w:num>
  <w:num w:numId="39">
    <w:abstractNumId w:val="30"/>
  </w:num>
  <w:num w:numId="40">
    <w:abstractNumId w:val="34"/>
  </w:num>
  <w:num w:numId="41">
    <w:abstractNumId w:val="10"/>
  </w:num>
  <w:num w:numId="42">
    <w:abstractNumId w:val="37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23176"/>
    <w:rsid w:val="000516CD"/>
    <w:rsid w:val="000822DD"/>
    <w:rsid w:val="00084732"/>
    <w:rsid w:val="000E61E0"/>
    <w:rsid w:val="0011230F"/>
    <w:rsid w:val="00113F6E"/>
    <w:rsid w:val="00126FC4"/>
    <w:rsid w:val="00127E38"/>
    <w:rsid w:val="00130365"/>
    <w:rsid w:val="001424C6"/>
    <w:rsid w:val="00152448"/>
    <w:rsid w:val="00167125"/>
    <w:rsid w:val="00196C79"/>
    <w:rsid w:val="001A300F"/>
    <w:rsid w:val="001A730E"/>
    <w:rsid w:val="001F1631"/>
    <w:rsid w:val="00205689"/>
    <w:rsid w:val="00245E41"/>
    <w:rsid w:val="0025126D"/>
    <w:rsid w:val="00265C88"/>
    <w:rsid w:val="0027236F"/>
    <w:rsid w:val="00280C1E"/>
    <w:rsid w:val="00284197"/>
    <w:rsid w:val="00285CE7"/>
    <w:rsid w:val="00291868"/>
    <w:rsid w:val="002A16D0"/>
    <w:rsid w:val="002B7955"/>
    <w:rsid w:val="002C2970"/>
    <w:rsid w:val="002C2A59"/>
    <w:rsid w:val="002D73FC"/>
    <w:rsid w:val="002F267E"/>
    <w:rsid w:val="003027FC"/>
    <w:rsid w:val="003102AD"/>
    <w:rsid w:val="00330FB6"/>
    <w:rsid w:val="003523BE"/>
    <w:rsid w:val="003776BF"/>
    <w:rsid w:val="003A3C71"/>
    <w:rsid w:val="003A7BCA"/>
    <w:rsid w:val="003E7064"/>
    <w:rsid w:val="00400D8E"/>
    <w:rsid w:val="00406100"/>
    <w:rsid w:val="00422E65"/>
    <w:rsid w:val="00442823"/>
    <w:rsid w:val="00452CAB"/>
    <w:rsid w:val="00460AA8"/>
    <w:rsid w:val="00462F52"/>
    <w:rsid w:val="00464A3E"/>
    <w:rsid w:val="004757EA"/>
    <w:rsid w:val="00486399"/>
    <w:rsid w:val="00492964"/>
    <w:rsid w:val="00493D7D"/>
    <w:rsid w:val="004966FA"/>
    <w:rsid w:val="004C372D"/>
    <w:rsid w:val="004C770C"/>
    <w:rsid w:val="004D08FB"/>
    <w:rsid w:val="004D6A13"/>
    <w:rsid w:val="0051485E"/>
    <w:rsid w:val="00514BBA"/>
    <w:rsid w:val="005353BB"/>
    <w:rsid w:val="00551E22"/>
    <w:rsid w:val="00562F2A"/>
    <w:rsid w:val="00591088"/>
    <w:rsid w:val="0059238B"/>
    <w:rsid w:val="005A17C4"/>
    <w:rsid w:val="005A2C34"/>
    <w:rsid w:val="005B47BE"/>
    <w:rsid w:val="005D0B54"/>
    <w:rsid w:val="005F082F"/>
    <w:rsid w:val="005F4CAB"/>
    <w:rsid w:val="0060527F"/>
    <w:rsid w:val="00655CB8"/>
    <w:rsid w:val="00667F7D"/>
    <w:rsid w:val="006A0E72"/>
    <w:rsid w:val="006A49BB"/>
    <w:rsid w:val="006A6714"/>
    <w:rsid w:val="006B21E6"/>
    <w:rsid w:val="006E5591"/>
    <w:rsid w:val="006F3B10"/>
    <w:rsid w:val="006F4732"/>
    <w:rsid w:val="0070353E"/>
    <w:rsid w:val="00707521"/>
    <w:rsid w:val="00717237"/>
    <w:rsid w:val="00720081"/>
    <w:rsid w:val="007234CF"/>
    <w:rsid w:val="0072690B"/>
    <w:rsid w:val="00736248"/>
    <w:rsid w:val="00752114"/>
    <w:rsid w:val="00757143"/>
    <w:rsid w:val="00762DE3"/>
    <w:rsid w:val="007721AF"/>
    <w:rsid w:val="0078556C"/>
    <w:rsid w:val="007B05DE"/>
    <w:rsid w:val="007C4A8E"/>
    <w:rsid w:val="007F1449"/>
    <w:rsid w:val="0081752C"/>
    <w:rsid w:val="00820A8F"/>
    <w:rsid w:val="008301D4"/>
    <w:rsid w:val="00854471"/>
    <w:rsid w:val="00856C43"/>
    <w:rsid w:val="008839C5"/>
    <w:rsid w:val="00893EE6"/>
    <w:rsid w:val="008A25FE"/>
    <w:rsid w:val="008A26C1"/>
    <w:rsid w:val="008E2F8B"/>
    <w:rsid w:val="00904994"/>
    <w:rsid w:val="0092342E"/>
    <w:rsid w:val="00927EE2"/>
    <w:rsid w:val="0093086A"/>
    <w:rsid w:val="00931C40"/>
    <w:rsid w:val="00936E73"/>
    <w:rsid w:val="00940F6C"/>
    <w:rsid w:val="00945E88"/>
    <w:rsid w:val="00956353"/>
    <w:rsid w:val="0099490C"/>
    <w:rsid w:val="009E5A78"/>
    <w:rsid w:val="009F462A"/>
    <w:rsid w:val="009F53BB"/>
    <w:rsid w:val="00A370F1"/>
    <w:rsid w:val="00A41CCD"/>
    <w:rsid w:val="00A54557"/>
    <w:rsid w:val="00A750CF"/>
    <w:rsid w:val="00A94C4A"/>
    <w:rsid w:val="00AA210B"/>
    <w:rsid w:val="00AC1E74"/>
    <w:rsid w:val="00AC5EF6"/>
    <w:rsid w:val="00AD12F5"/>
    <w:rsid w:val="00AF316B"/>
    <w:rsid w:val="00AF3267"/>
    <w:rsid w:val="00AF47C9"/>
    <w:rsid w:val="00B24929"/>
    <w:rsid w:val="00B626B4"/>
    <w:rsid w:val="00B70F05"/>
    <w:rsid w:val="00B72B36"/>
    <w:rsid w:val="00B75044"/>
    <w:rsid w:val="00B94450"/>
    <w:rsid w:val="00BA0E44"/>
    <w:rsid w:val="00BA7851"/>
    <w:rsid w:val="00BB07B9"/>
    <w:rsid w:val="00BC22D3"/>
    <w:rsid w:val="00BC3118"/>
    <w:rsid w:val="00BC66CE"/>
    <w:rsid w:val="00BF32A5"/>
    <w:rsid w:val="00C00412"/>
    <w:rsid w:val="00C00839"/>
    <w:rsid w:val="00C11D60"/>
    <w:rsid w:val="00C154A1"/>
    <w:rsid w:val="00C22809"/>
    <w:rsid w:val="00C26D0C"/>
    <w:rsid w:val="00C3154A"/>
    <w:rsid w:val="00C560B3"/>
    <w:rsid w:val="00C62972"/>
    <w:rsid w:val="00C65029"/>
    <w:rsid w:val="00C71406"/>
    <w:rsid w:val="00C80261"/>
    <w:rsid w:val="00C83A34"/>
    <w:rsid w:val="00C8604C"/>
    <w:rsid w:val="00C87AF7"/>
    <w:rsid w:val="00CC717C"/>
    <w:rsid w:val="00CD5EB1"/>
    <w:rsid w:val="00CE4016"/>
    <w:rsid w:val="00CF4A1C"/>
    <w:rsid w:val="00D1357B"/>
    <w:rsid w:val="00D26102"/>
    <w:rsid w:val="00D27D6A"/>
    <w:rsid w:val="00D43252"/>
    <w:rsid w:val="00D44340"/>
    <w:rsid w:val="00D446EC"/>
    <w:rsid w:val="00D46674"/>
    <w:rsid w:val="00D60387"/>
    <w:rsid w:val="00D60B9A"/>
    <w:rsid w:val="00D97CDD"/>
    <w:rsid w:val="00DA422E"/>
    <w:rsid w:val="00DA7691"/>
    <w:rsid w:val="00DC4C9C"/>
    <w:rsid w:val="00DF12B1"/>
    <w:rsid w:val="00DF1FFD"/>
    <w:rsid w:val="00DF2256"/>
    <w:rsid w:val="00DF5DE8"/>
    <w:rsid w:val="00E039A6"/>
    <w:rsid w:val="00E1048E"/>
    <w:rsid w:val="00E12DFA"/>
    <w:rsid w:val="00E410C6"/>
    <w:rsid w:val="00E43579"/>
    <w:rsid w:val="00E5606F"/>
    <w:rsid w:val="00E64B21"/>
    <w:rsid w:val="00E654E5"/>
    <w:rsid w:val="00E7168B"/>
    <w:rsid w:val="00E83424"/>
    <w:rsid w:val="00EB208F"/>
    <w:rsid w:val="00EC02BD"/>
    <w:rsid w:val="00EF5E18"/>
    <w:rsid w:val="00F1269B"/>
    <w:rsid w:val="00F5579F"/>
    <w:rsid w:val="00F76E64"/>
    <w:rsid w:val="00F81288"/>
    <w:rsid w:val="00F81328"/>
    <w:rsid w:val="00F87761"/>
    <w:rsid w:val="00FA3D2C"/>
    <w:rsid w:val="00FA6EF5"/>
    <w:rsid w:val="00FC6357"/>
    <w:rsid w:val="00FD024F"/>
    <w:rsid w:val="00FD400B"/>
    <w:rsid w:val="00FD6966"/>
    <w:rsid w:val="00FD7EA0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BA7D"/>
  <w15:docId w15:val="{C2DD239C-0D8D-44F5-85B8-02BDBCD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F2256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22E65"/>
    <w:pPr>
      <w:spacing w:after="120"/>
      <w:ind w:left="360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2E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E8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56C43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2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F2256"/>
  </w:style>
  <w:style w:type="character" w:styleId="Hyperlink">
    <w:name w:val="Hyperlink"/>
    <w:basedOn w:val="DefaultParagraphFont"/>
    <w:uiPriority w:val="99"/>
    <w:unhideWhenUsed/>
    <w:rsid w:val="00DF2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B7EB0-74BB-4D6C-A130-9789AC66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GAyvazyan</dc:creator>
  <cp:lastModifiedBy>Anna Trdatyan</cp:lastModifiedBy>
  <cp:revision>3</cp:revision>
  <cp:lastPrinted>2019-12-03T05:46:00Z</cp:lastPrinted>
  <dcterms:created xsi:type="dcterms:W3CDTF">2021-03-16T05:31:00Z</dcterms:created>
  <dcterms:modified xsi:type="dcterms:W3CDTF">2021-03-16T05:40:00Z</dcterms:modified>
</cp:coreProperties>
</file>