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30" w:rsidRPr="00EF6330" w:rsidRDefault="00EF6330" w:rsidP="00EF6330">
      <w:pPr>
        <w:shd w:val="clear" w:color="auto" w:fill="FAFAFA"/>
        <w:spacing w:after="100" w:afterAutospacing="1" w:line="240" w:lineRule="auto"/>
        <w:jc w:val="center"/>
        <w:outlineLvl w:val="2"/>
        <w:rPr>
          <w:rFonts w:ascii="Sylfaen" w:eastAsia="Times New Roman" w:hAnsi="Sylfaen" w:cs="Arial"/>
          <w:color w:val="212529"/>
          <w:sz w:val="28"/>
          <w:szCs w:val="28"/>
        </w:rPr>
      </w:pP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Սպառողների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խմելու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ջրի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սակագինը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կմնա</w:t>
      </w:r>
      <w:proofErr w:type="spellEnd"/>
      <w:r w:rsidRPr="00EF6330">
        <w:rPr>
          <w:rFonts w:ascii="Sylfaen" w:eastAsia="Times New Roman" w:hAnsi="Sylfaen" w:cs="Arial"/>
          <w:color w:val="212529"/>
          <w:sz w:val="28"/>
          <w:szCs w:val="28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8"/>
          <w:szCs w:val="28"/>
        </w:rPr>
        <w:t>անփոփոխ</w:t>
      </w:r>
      <w:proofErr w:type="spellEnd"/>
    </w:p>
    <w:p w:rsidR="00EF6330" w:rsidRPr="00EF6330" w:rsidRDefault="00EF6330" w:rsidP="00EF6330">
      <w:pPr>
        <w:shd w:val="clear" w:color="auto" w:fill="FAFAFA"/>
        <w:spacing w:after="100" w:afterAutospacing="1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  <w:r w:rsidRPr="00EF6330">
        <w:rPr>
          <w:rFonts w:ascii="Sylfaen" w:eastAsia="Times New Roman" w:hAnsi="Sylfaen" w:cs="Arial"/>
          <w:color w:val="212529"/>
          <w:sz w:val="24"/>
          <w:szCs w:val="24"/>
        </w:rPr>
        <w:t>27/11/2020</w:t>
      </w:r>
    </w:p>
    <w:p w:rsid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հանրային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կարգավորող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հանձնաժողովը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սահմանեց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«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Վեոլիա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Ջուր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»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ՓԲԸ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ի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կողմից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բաժանորդներին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խմելու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մատակարարման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ջրահեռացման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կեղտաջրերի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մաքրման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մատուցման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: 2021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սպառողների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սակագինը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կմնա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անփոփոխ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մեկ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խորանարդ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մետրի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180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դրամ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>:</w:t>
      </w:r>
      <w:r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</w:p>
    <w:p w:rsid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  <w:r w:rsidRPr="00EF6330">
        <w:rPr>
          <w:rFonts w:ascii="Sylfaen" w:eastAsia="Times New Roman" w:hAnsi="Sylfaen" w:cs="Arial"/>
          <w:color w:val="212529"/>
          <w:sz w:val="24"/>
          <w:szCs w:val="24"/>
        </w:rPr>
        <w:br/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Խմելու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մատակարարման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ջրահեռացման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կեղտաջրերի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մաքրման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մատուցման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2021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ճշգրտման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գործոնների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,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այդ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թվում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նաև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մանրածախ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ջրամատակարարման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փաստացի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ծավալների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մոնիթորինգի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արդյունքներով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Հանձնաժողովի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կատարած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հաշվարկների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համաձայն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մանրածախ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գումարային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մեծությունը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յուրաքանչյուր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խորանարդ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մետրի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կազմել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է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178,247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դրամ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ներառյալ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ԱԱՀ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),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ինչը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գործող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գումարային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մեծության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նկատմամբ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պակաս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է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1,753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դրամ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>/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խմ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ով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ներառյալ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ԱԱՀ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): </w:t>
      </w:r>
    </w:p>
    <w:p w:rsid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</w:p>
    <w:p w:rsid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Հաշվի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առնելով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,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որ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2022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նախատեսվում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է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մանրածախ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բազիսային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աճ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նպատակ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ունենալով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մեղմելու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այդ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աճը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փոխվարչապետի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գրասենյակի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,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տարածքային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կառավարման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ենթակառուցվածքների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նախարարության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«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Վեոլիա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ջուր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»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ընկերության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հետ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քննարկվել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է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2020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գործող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մանրածախ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ծառայությունների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գումարային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180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դրամ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>/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խորանարդ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մետր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ներառյալ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ԱԱՀ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2021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համար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հաշվարկված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տարբերությունը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(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ընկերության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լիցենզիայի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համաձայն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ճշգրտումից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հետո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1.761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դրամ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>/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խորանարդ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մետր</w:t>
      </w:r>
      <w:proofErr w:type="spellEnd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՝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ներառյալ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ԱԱՀ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)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տեղափոխել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և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նվազեցնել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2022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սահմանվող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սակագներից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>: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br/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Որոշումներն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ուժի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մեջ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կմտնեն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2021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թվականի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</w:t>
      </w:r>
      <w:proofErr w:type="spellStart"/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հունվարի</w:t>
      </w:r>
      <w:proofErr w:type="spellEnd"/>
      <w:r w:rsidRPr="00EF6330">
        <w:rPr>
          <w:rFonts w:ascii="Sylfaen" w:eastAsia="Times New Roman" w:hAnsi="Sylfaen" w:cs="Arial"/>
          <w:color w:val="212529"/>
          <w:sz w:val="24"/>
          <w:szCs w:val="24"/>
        </w:rPr>
        <w:t xml:space="preserve"> 1-</w:t>
      </w:r>
      <w:r w:rsidRPr="00EF6330">
        <w:rPr>
          <w:rFonts w:ascii="Sylfaen" w:eastAsia="Times New Roman" w:hAnsi="Sylfaen" w:cs="Sylfaen"/>
          <w:color w:val="212529"/>
          <w:sz w:val="24"/>
          <w:szCs w:val="24"/>
        </w:rPr>
        <w:t>ից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:</w:t>
      </w:r>
    </w:p>
    <w:p w:rsid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</w:p>
    <w:p w:rsidR="00EF6330" w:rsidRPr="00EF6330" w:rsidRDefault="00EF6330" w:rsidP="00EF6330">
      <w:pPr>
        <w:shd w:val="clear" w:color="auto" w:fill="FAFAFA"/>
        <w:spacing w:after="0" w:line="240" w:lineRule="auto"/>
        <w:jc w:val="both"/>
        <w:rPr>
          <w:rFonts w:ascii="Sylfaen" w:eastAsia="Times New Roman" w:hAnsi="Sylfaen" w:cs="Arial"/>
          <w:color w:val="212529"/>
          <w:sz w:val="24"/>
          <w:szCs w:val="24"/>
        </w:rPr>
      </w:pPr>
      <w:proofErr w:type="spellStart"/>
      <w:r>
        <w:rPr>
          <w:rFonts w:ascii="Sylfaen" w:eastAsia="Times New Roman" w:hAnsi="Sylfaen" w:cs="Arial"/>
          <w:color w:val="212529"/>
          <w:sz w:val="24"/>
          <w:szCs w:val="24"/>
        </w:rPr>
        <w:t>Տես</w:t>
      </w:r>
      <w:proofErr w:type="spellEnd"/>
      <w:r>
        <w:rPr>
          <w:rFonts w:ascii="Sylfaen" w:eastAsia="Times New Roman" w:hAnsi="Sylfaen" w:cs="Arial"/>
          <w:color w:val="212529"/>
          <w:sz w:val="24"/>
          <w:szCs w:val="24"/>
        </w:rPr>
        <w:t xml:space="preserve">՝ </w:t>
      </w:r>
      <w:r w:rsidRPr="00EF6330">
        <w:rPr>
          <w:rFonts w:ascii="Sylfaen" w:eastAsia="Times New Roman" w:hAnsi="Sylfaen" w:cs="Arial"/>
          <w:color w:val="212529"/>
          <w:sz w:val="24"/>
          <w:szCs w:val="24"/>
        </w:rPr>
        <w:t>http://www.psrc.am/am/news/topic/11151?fbclid=IwAR13DaJf_-ilJvBltnRa6hl4RtBWP6TnthnvgB6HaCDXqi2AI-gpKOKCDHo</w:t>
      </w:r>
    </w:p>
    <w:p w:rsidR="006F189A" w:rsidRDefault="006F189A"/>
    <w:sectPr w:rsidR="006F189A" w:rsidSect="006F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330"/>
    <w:rsid w:val="006F189A"/>
    <w:rsid w:val="00E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9A"/>
  </w:style>
  <w:style w:type="paragraph" w:styleId="Heading3">
    <w:name w:val="heading 3"/>
    <w:basedOn w:val="Normal"/>
    <w:link w:val="Heading3Char"/>
    <w:uiPriority w:val="9"/>
    <w:qFormat/>
    <w:rsid w:val="00EF6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3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ey-text">
    <w:name w:val="grey-text"/>
    <w:basedOn w:val="Normal"/>
    <w:rsid w:val="00EF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2020-11-27T09:31:00Z</dcterms:created>
  <dcterms:modified xsi:type="dcterms:W3CDTF">2020-11-27T09:38:00Z</dcterms:modified>
</cp:coreProperties>
</file>