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4" w:rsidRDefault="00A76A5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A76A54" w:rsidRDefault="00A76A54" w:rsidP="00A76A54">
      <w:pPr>
        <w:spacing w:line="276" w:lineRule="auto"/>
        <w:jc w:val="center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b/>
          <w:noProof/>
          <w:lang w:val="en-US"/>
        </w:rPr>
        <w:drawing>
          <wp:inline distT="0" distB="0" distL="0" distR="0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A54" w:rsidRDefault="00A76A54" w:rsidP="00A76A54">
      <w:pPr>
        <w:spacing w:line="276" w:lineRule="auto"/>
        <w:rPr>
          <w:rFonts w:ascii="Sylfaen" w:hAnsi="Sylfaen" w:cs="Sylfaen"/>
          <w:szCs w:val="24"/>
          <w:lang w:val="af-ZA"/>
        </w:rPr>
      </w:pPr>
    </w:p>
    <w:p w:rsidR="00A76A54" w:rsidRPr="00844C09" w:rsidRDefault="00A76A54" w:rsidP="00A76A54">
      <w:pPr>
        <w:spacing w:line="276" w:lineRule="auto"/>
        <w:rPr>
          <w:rFonts w:ascii="Sylfaen" w:hAnsi="Sylfaen" w:cs="Sylfaen"/>
          <w:b/>
          <w:sz w:val="32"/>
          <w:szCs w:val="32"/>
          <w:lang w:val="af-ZA"/>
        </w:rPr>
      </w:pPr>
      <w:r w:rsidRPr="00844C09">
        <w:rPr>
          <w:rFonts w:ascii="Sylfaen" w:hAnsi="Sylfaen" w:cs="Sylfaen"/>
          <w:b/>
          <w:sz w:val="32"/>
          <w:szCs w:val="32"/>
          <w:lang w:val="af-ZA"/>
        </w:rPr>
        <w:t>ՆԱԽԱՈՐԱԿԱՎՈՐՄԱՆ ՀԱՅՏԵՐԻ ՆԵՐԿԱՅԱՑՄԱՆ</w:t>
      </w:r>
      <w:r w:rsidRPr="00844C09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844C09">
        <w:rPr>
          <w:rFonts w:ascii="Sylfaen" w:hAnsi="Sylfaen" w:cs="Sylfaen"/>
          <w:b/>
          <w:sz w:val="32"/>
          <w:szCs w:val="32"/>
          <w:lang w:val="af-ZA"/>
        </w:rPr>
        <w:t>ՀՐԱՎԵՐ</w:t>
      </w:r>
    </w:p>
    <w:p w:rsidR="00A76A54" w:rsidRPr="00E824BC" w:rsidRDefault="00A76A54" w:rsidP="00A76A54">
      <w:pPr>
        <w:ind w:firstLine="720"/>
        <w:rPr>
          <w:rFonts w:ascii="Sylfaen" w:eastAsia="Calibri" w:hAnsi="Sylfaen"/>
          <w:bCs/>
          <w:szCs w:val="24"/>
          <w:lang w:val="hy-AM"/>
        </w:rPr>
      </w:pPr>
    </w:p>
    <w:p w:rsidR="007C105F" w:rsidRPr="00B5304B" w:rsidRDefault="007C105F" w:rsidP="007C105F">
      <w:pPr>
        <w:ind w:left="-274" w:firstLine="274"/>
        <w:rPr>
          <w:rFonts w:ascii="Sylfaen" w:hAnsi="Sylfaen" w:cstheme="minorHAnsi"/>
          <w:szCs w:val="24"/>
          <w:lang w:val="hy-AM"/>
        </w:rPr>
      </w:pPr>
      <w:r w:rsidRPr="00B5304B">
        <w:rPr>
          <w:rFonts w:ascii="Sylfaen" w:hAnsi="Sylfaen" w:cstheme="minorHAnsi"/>
          <w:szCs w:val="24"/>
          <w:lang w:val="hy-AM"/>
        </w:rPr>
        <w:t xml:space="preserve">Հայաստանի Հանրապետության Կառավարության և «Վեոլիա Գրուպ»-ի միջև կնքված </w:t>
      </w:r>
      <w:r w:rsidR="00E651DD">
        <w:rPr>
          <w:rFonts w:ascii="Sylfaen" w:hAnsi="Sylfaen" w:cstheme="minorHAnsi"/>
          <w:szCs w:val="24"/>
          <w:lang w:val="hy-AM"/>
        </w:rPr>
        <w:t>Վարձակալության</w:t>
      </w:r>
      <w:r w:rsidRPr="00B5304B">
        <w:rPr>
          <w:rFonts w:ascii="Sylfaen" w:hAnsi="Sylfaen" w:cstheme="minorHAnsi"/>
          <w:szCs w:val="24"/>
          <w:lang w:val="hy-AM"/>
        </w:rPr>
        <w:t xml:space="preserve"> պայմանագրի համաձայն «Վեոլիա ջուր» ՓԲԸ-ն (այսուհետ Ընկերություն) յուրաքանչյուր տարի իրականացնում է ջրամատակարարման և ջրահեռացման համակարգերի բարելավման </w:t>
      </w:r>
      <w:r w:rsidRPr="00B5304B">
        <w:rPr>
          <w:rFonts w:ascii="Sylfaen" w:hAnsi="Sylfaen" w:cstheme="minorHAnsi"/>
          <w:b/>
          <w:szCs w:val="24"/>
          <w:lang w:val="hy-AM"/>
        </w:rPr>
        <w:t>«Պարտադիր Կապիտալ Աշխատանքների Ծրագիր</w:t>
      </w:r>
      <w:r w:rsidRPr="00B5304B">
        <w:rPr>
          <w:rFonts w:ascii="Sylfaen" w:hAnsi="Sylfaen" w:cstheme="minorHAnsi"/>
          <w:szCs w:val="24"/>
          <w:lang w:val="hy-AM"/>
        </w:rPr>
        <w:t xml:space="preserve">» (այսուհետ՝ ՊԿԱԾ)։ </w:t>
      </w:r>
    </w:p>
    <w:p w:rsidR="007C105F" w:rsidRPr="00B5304B" w:rsidRDefault="007C105F" w:rsidP="007C105F">
      <w:pPr>
        <w:ind w:left="-274"/>
        <w:rPr>
          <w:rFonts w:ascii="Sylfaen" w:hAnsi="Sylfaen" w:cstheme="minorHAnsi"/>
          <w:szCs w:val="24"/>
          <w:lang w:val="hy-AM"/>
        </w:rPr>
      </w:pPr>
      <w:r w:rsidRPr="00B5304B">
        <w:rPr>
          <w:rFonts w:ascii="Sylfaen" w:hAnsi="Sylfaen" w:cstheme="minorHAnsi"/>
          <w:szCs w:val="24"/>
          <w:lang w:val="hy-AM"/>
        </w:rPr>
        <w:t xml:space="preserve">     Ծրագրի շրջանակներում ջրամատակարարման և ջրահեռացման համակարգերում նախատեսվող շինարարական աշխատանքների իրականացման և ծառայությունների մատուցման նպատակով Ընկերությունը կազմակերպում է նախաորակավորման մրցույթ և հրավիրում է իրավասու և փորձառու շահագրգիռ կապալառուներին ներկայացնել հետաքրքրության հայտեր մրցույթին մասնակցելու նպատակով։ </w:t>
      </w:r>
    </w:p>
    <w:p w:rsidR="007C105F" w:rsidRPr="00B5304B" w:rsidRDefault="00754420" w:rsidP="00754420">
      <w:pPr>
        <w:ind w:left="-274"/>
        <w:rPr>
          <w:rFonts w:ascii="Sylfaen" w:hAnsi="Sylfaen" w:cstheme="minorHAnsi"/>
          <w:szCs w:val="24"/>
          <w:lang w:val="hy-AM"/>
        </w:rPr>
      </w:pPr>
      <w:r w:rsidRPr="00B5304B">
        <w:rPr>
          <w:rFonts w:ascii="Sylfaen" w:hAnsi="Sylfaen" w:cstheme="minorHAnsi"/>
          <w:szCs w:val="24"/>
          <w:lang w:val="hy-AM"/>
        </w:rPr>
        <w:t xml:space="preserve">     </w:t>
      </w:r>
      <w:r w:rsidR="007C105F" w:rsidRPr="00B5304B">
        <w:rPr>
          <w:rFonts w:ascii="Sylfaen" w:hAnsi="Sylfaen" w:cstheme="minorHAnsi"/>
          <w:szCs w:val="24"/>
          <w:lang w:val="hy-AM"/>
        </w:rPr>
        <w:t>Ընտրված հայտատուների հետ պայմանագրային հարաբերությունները կգործեն 2020-2022 թվականներ ժամանակահատվածում, անհրաժեշտության դեպքում երկարաձգելու հնարավորությամբ:</w:t>
      </w:r>
    </w:p>
    <w:p w:rsidR="007C105F" w:rsidRPr="00B5304B" w:rsidRDefault="007C105F" w:rsidP="007C105F">
      <w:pPr>
        <w:ind w:left="-274"/>
        <w:rPr>
          <w:rFonts w:ascii="Sylfaen" w:hAnsi="Sylfaen" w:cstheme="minorHAnsi"/>
          <w:szCs w:val="24"/>
          <w:lang w:val="hy-AM"/>
        </w:rPr>
      </w:pPr>
    </w:p>
    <w:p w:rsidR="007C105F" w:rsidRPr="00B5304B" w:rsidRDefault="007C105F" w:rsidP="00B5304B">
      <w:pPr>
        <w:ind w:left="-274" w:firstLine="274"/>
        <w:rPr>
          <w:rFonts w:ascii="Sylfaen" w:hAnsi="Sylfaen" w:cstheme="minorHAnsi"/>
          <w:szCs w:val="24"/>
          <w:lang w:val="hy-AM"/>
        </w:rPr>
      </w:pPr>
      <w:r w:rsidRPr="00B5304B">
        <w:rPr>
          <w:rFonts w:ascii="Sylfaen" w:hAnsi="Sylfaen" w:cstheme="minorHAnsi"/>
          <w:b/>
          <w:szCs w:val="24"/>
          <w:u w:val="single"/>
          <w:lang w:val="hy-AM"/>
        </w:rPr>
        <w:t xml:space="preserve">Ջրամատակարարման համակարգերում </w:t>
      </w:r>
      <w:r w:rsidRPr="00B5304B">
        <w:rPr>
          <w:rFonts w:ascii="Sylfaen" w:hAnsi="Sylfaen" w:cstheme="minorHAnsi"/>
          <w:szCs w:val="24"/>
          <w:lang w:val="hy-AM"/>
        </w:rPr>
        <w:t>նախատեսվող հիմնական աշխատանքներն են՝ ջրատար համակարգերի, ջրամատակարարման արտաքին ցանցերի, գլխամասային կառուցվածքների և ենթակառուցվածքների, մասնավորապես՝ կապտաժների, դրենաժային համակարգերի, ջրհավաք ավազանների, օրվա կարգավորիչ ջրամբարների (ՕԿՋ), խորքային հորերի, գետընդունիչների, քլորակայանների (ներառյալ սարքավորումների մոնտաժ), պոմպակայանների (ներառյալ սարքավորումների մոնտաժ), բաշխիչ ցանցերի, Ընկերության վարչական շենք-շինությունների նորոգում, կառուցում և վերակառուցում, ինչպես նաև համապատասխան տեխնիկական պայմանների հիման վրա բաժանորդների անհատական ջրամատակարարման համակարգերի, ջրաչափերի, դիտահորերի տեղադրում, վերանորոգում, կառուցում և վերակառուցում։</w:t>
      </w:r>
    </w:p>
    <w:p w:rsidR="007C105F" w:rsidRDefault="007C105F" w:rsidP="00A76A54">
      <w:pPr>
        <w:ind w:firstLine="720"/>
        <w:rPr>
          <w:rFonts w:ascii="Sylfaen" w:eastAsia="Calibri" w:hAnsi="Sylfaen"/>
          <w:bCs/>
          <w:szCs w:val="24"/>
          <w:lang w:val="hy-AM"/>
        </w:rPr>
      </w:pPr>
    </w:p>
    <w:p w:rsidR="00B5304B" w:rsidRPr="00B5304B" w:rsidRDefault="00B5304B" w:rsidP="00B5304B">
      <w:pPr>
        <w:numPr>
          <w:ilvl w:val="0"/>
          <w:numId w:val="6"/>
        </w:numPr>
        <w:rPr>
          <w:rFonts w:ascii="Sylfaen" w:eastAsia="Calibri" w:hAnsi="Sylfaen"/>
          <w:bCs/>
          <w:szCs w:val="24"/>
          <w:lang w:val="hy-AM"/>
        </w:rPr>
      </w:pPr>
      <w:r w:rsidRPr="00B5304B">
        <w:rPr>
          <w:rFonts w:ascii="Sylfaen" w:eastAsia="Calibri" w:hAnsi="Sylfaen"/>
          <w:bCs/>
          <w:szCs w:val="24"/>
          <w:lang w:val="hy-AM"/>
        </w:rPr>
        <w:t>ՊԿԱԾ-ի շրջանակներում նախատեսվող յուրաքանչյուր աշխատանքի նախահաշվային արժեքը կարող է տատանվել  2 մլն. ՀՀ դրամից մինչև 80 մլն. ՀՀ դրամի սահմաններում,</w:t>
      </w:r>
    </w:p>
    <w:p w:rsidR="00B5304B" w:rsidRPr="00B5304B" w:rsidRDefault="00B5304B" w:rsidP="00B5304B">
      <w:pPr>
        <w:numPr>
          <w:ilvl w:val="0"/>
          <w:numId w:val="6"/>
        </w:numPr>
        <w:rPr>
          <w:rFonts w:ascii="Sylfaen" w:eastAsia="Calibri" w:hAnsi="Sylfaen"/>
          <w:bCs/>
          <w:szCs w:val="24"/>
          <w:lang w:val="hy-AM"/>
        </w:rPr>
      </w:pPr>
      <w:r w:rsidRPr="00B5304B">
        <w:rPr>
          <w:rFonts w:ascii="Sylfaen" w:eastAsia="Calibri" w:hAnsi="Sylfaen"/>
          <w:bCs/>
          <w:szCs w:val="24"/>
          <w:lang w:val="hy-AM"/>
        </w:rPr>
        <w:t xml:space="preserve">Նախավորակավորում անցած և </w:t>
      </w:r>
      <w:r w:rsidR="00D504E1">
        <w:rPr>
          <w:rFonts w:ascii="Sylfaen" w:eastAsia="Calibri" w:hAnsi="Sylfaen"/>
          <w:bCs/>
          <w:szCs w:val="24"/>
          <w:lang w:val="hy-AM"/>
        </w:rPr>
        <w:t>«</w:t>
      </w:r>
      <w:r w:rsidRPr="00B5304B">
        <w:rPr>
          <w:rFonts w:ascii="Sylfaen" w:eastAsia="Calibri" w:hAnsi="Sylfaen"/>
          <w:bCs/>
          <w:szCs w:val="24"/>
          <w:lang w:val="hy-AM"/>
        </w:rPr>
        <w:t>կարճ ցուցակում</w:t>
      </w:r>
      <w:r w:rsidR="00D504E1">
        <w:rPr>
          <w:rFonts w:ascii="Sylfaen" w:eastAsia="Calibri" w:hAnsi="Sylfaen"/>
          <w:bCs/>
          <w:szCs w:val="24"/>
          <w:lang w:val="hy-AM"/>
        </w:rPr>
        <w:t>»</w:t>
      </w:r>
      <w:r w:rsidRPr="00B5304B">
        <w:rPr>
          <w:rFonts w:ascii="Sylfaen" w:eastAsia="Calibri" w:hAnsi="Sylfaen"/>
          <w:bCs/>
          <w:szCs w:val="24"/>
          <w:lang w:val="hy-AM"/>
        </w:rPr>
        <w:t xml:space="preserve"> ընդգրկված բոլոր կապալառուները ջրամատակարարման անհատական դիտահորերի վերանորոգման-վերակառուցման և ջրաչափերի տեղադրման աշխատանքներն իրականացնելու են շրջանակային համաձայնագրերով, Ընկերության կողմից սահ</w:t>
      </w:r>
      <w:r w:rsidRPr="00937C2F">
        <w:rPr>
          <w:rFonts w:ascii="Sylfaen" w:eastAsia="Calibri" w:hAnsi="Sylfaen"/>
          <w:bCs/>
          <w:szCs w:val="24"/>
          <w:lang w:val="hy-AM"/>
        </w:rPr>
        <w:t xml:space="preserve">մանված (հաշվարկված </w:t>
      </w:r>
      <w:r w:rsidR="004453D7" w:rsidRPr="00937C2F">
        <w:rPr>
          <w:rFonts w:ascii="Sylfaen" w:eastAsia="Calibri" w:hAnsi="Sylfaen"/>
          <w:bCs/>
          <w:szCs w:val="24"/>
          <w:lang w:val="hy-AM"/>
        </w:rPr>
        <w:t>ըստ շինարարական նորմերի արժեքի հաշվարկման կարգի /Հավելված N8, ՀՀ կառավարության 23.06.2011թ. N879-Ն որոշում/)</w:t>
      </w:r>
      <w:r w:rsidRPr="00937C2F">
        <w:rPr>
          <w:rFonts w:ascii="Sylfaen" w:eastAsia="Calibri" w:hAnsi="Sylfaen"/>
          <w:bCs/>
          <w:szCs w:val="24"/>
          <w:lang w:val="hy-AM"/>
        </w:rPr>
        <w:t xml:space="preserve"> միավոր</w:t>
      </w:r>
      <w:r w:rsidRPr="00B5304B">
        <w:rPr>
          <w:rFonts w:ascii="Sylfaen" w:eastAsia="Calibri" w:hAnsi="Sylfaen"/>
          <w:bCs/>
          <w:szCs w:val="24"/>
          <w:lang w:val="hy-AM"/>
        </w:rPr>
        <w:t xml:space="preserve"> գների հիման վրա,</w:t>
      </w:r>
    </w:p>
    <w:p w:rsidR="00B5304B" w:rsidRPr="00B5304B" w:rsidRDefault="00B5304B" w:rsidP="00B5304B">
      <w:pPr>
        <w:numPr>
          <w:ilvl w:val="0"/>
          <w:numId w:val="6"/>
        </w:numPr>
        <w:rPr>
          <w:rFonts w:ascii="Sylfaen" w:eastAsia="Calibri" w:hAnsi="Sylfaen"/>
          <w:bCs/>
          <w:szCs w:val="24"/>
          <w:lang w:val="hy-AM"/>
        </w:rPr>
      </w:pPr>
      <w:r w:rsidRPr="00B5304B">
        <w:rPr>
          <w:rFonts w:ascii="Sylfaen" w:eastAsia="Calibri" w:hAnsi="Sylfaen"/>
          <w:bCs/>
          <w:szCs w:val="24"/>
          <w:lang w:val="hy-AM"/>
        </w:rPr>
        <w:lastRenderedPageBreak/>
        <w:t>Տեղադրվող ջրաչափերի անհատական պատվեր-հանձնարարականները կարող են տատանվել 1-ից մինչև 1000 հատի սահմաններում՝ Երևան քաղաքում և հանրապետության մարզերում,</w:t>
      </w:r>
    </w:p>
    <w:p w:rsidR="00B5304B" w:rsidRPr="00B5304B" w:rsidRDefault="00B5304B" w:rsidP="00B5304B">
      <w:pPr>
        <w:numPr>
          <w:ilvl w:val="0"/>
          <w:numId w:val="6"/>
        </w:numPr>
        <w:rPr>
          <w:rFonts w:ascii="Sylfaen" w:eastAsia="Calibri" w:hAnsi="Sylfaen"/>
          <w:bCs/>
          <w:szCs w:val="24"/>
          <w:lang w:val="hy-AM"/>
        </w:rPr>
      </w:pPr>
      <w:r w:rsidRPr="00B5304B">
        <w:rPr>
          <w:rFonts w:ascii="Sylfaen" w:eastAsia="Calibri" w:hAnsi="Sylfaen"/>
          <w:bCs/>
          <w:szCs w:val="24"/>
          <w:lang w:val="hy-AM"/>
        </w:rPr>
        <w:t xml:space="preserve">Տեխնիկական պայմանների հիման վրա նոր անհատական ջրամատակարարման համակարգերի կառուցման աշխատանքները Ընկերության կողմից սահմանված </w:t>
      </w:r>
      <w:r w:rsidR="00937C2F" w:rsidRPr="00937C2F">
        <w:rPr>
          <w:rFonts w:ascii="Sylfaen" w:eastAsia="Calibri" w:hAnsi="Sylfaen"/>
          <w:bCs/>
          <w:szCs w:val="24"/>
          <w:lang w:val="hy-AM"/>
        </w:rPr>
        <w:t xml:space="preserve">(հաշվարկված ըստ շինարարական նորմերի արժեքի հաշվարկման կարգի /Հավելված N8, ՀՀ կառավարության 23.06.2011թ. N879-Ն որոշում/) </w:t>
      </w:r>
      <w:r w:rsidRPr="009D58A5">
        <w:rPr>
          <w:rFonts w:ascii="Sylfaen" w:eastAsia="Calibri" w:hAnsi="Sylfaen"/>
          <w:bCs/>
          <w:szCs w:val="24"/>
          <w:lang w:val="hy-AM"/>
        </w:rPr>
        <w:t>միավոր</w:t>
      </w:r>
      <w:r w:rsidRPr="00B5304B">
        <w:rPr>
          <w:rFonts w:ascii="Sylfaen" w:eastAsia="Calibri" w:hAnsi="Sylfaen"/>
          <w:bCs/>
          <w:szCs w:val="24"/>
          <w:lang w:val="hy-AM"/>
        </w:rPr>
        <w:t xml:space="preserve"> գների հիման վրա, Երևան քաղաքում և հանրապետության մարզերում իրականացվելու են նախավորակավորում անցած և </w:t>
      </w:r>
      <w:r w:rsidR="009D58A5">
        <w:rPr>
          <w:rFonts w:ascii="Sylfaen" w:eastAsia="Calibri" w:hAnsi="Sylfaen"/>
          <w:bCs/>
          <w:szCs w:val="24"/>
          <w:lang w:val="hy-AM"/>
        </w:rPr>
        <w:t>«</w:t>
      </w:r>
      <w:r w:rsidRPr="00B5304B">
        <w:rPr>
          <w:rFonts w:ascii="Sylfaen" w:eastAsia="Calibri" w:hAnsi="Sylfaen"/>
          <w:bCs/>
          <w:szCs w:val="24"/>
          <w:lang w:val="hy-AM"/>
        </w:rPr>
        <w:t>կարճ ցուցակում</w:t>
      </w:r>
      <w:r w:rsidR="009D58A5">
        <w:rPr>
          <w:rFonts w:ascii="Sylfaen" w:eastAsia="Calibri" w:hAnsi="Sylfaen"/>
          <w:bCs/>
          <w:szCs w:val="24"/>
          <w:lang w:val="hy-AM"/>
        </w:rPr>
        <w:t>»</w:t>
      </w:r>
      <w:r w:rsidRPr="00B5304B">
        <w:rPr>
          <w:rFonts w:ascii="Sylfaen" w:eastAsia="Calibri" w:hAnsi="Sylfaen"/>
          <w:bCs/>
          <w:szCs w:val="24"/>
          <w:lang w:val="hy-AM"/>
        </w:rPr>
        <w:t xml:space="preserve"> ընդգրկված բոլոր Կապալառուների կողմից՝ համաձայն Ընկերության պատվեր-հանձնարարականների:</w:t>
      </w:r>
    </w:p>
    <w:p w:rsidR="00B5304B" w:rsidRPr="00B5304B" w:rsidRDefault="00B5304B" w:rsidP="00B5304B">
      <w:pPr>
        <w:ind w:firstLine="720"/>
        <w:rPr>
          <w:rFonts w:ascii="Sylfaen" w:eastAsia="Calibri" w:hAnsi="Sylfaen"/>
          <w:bCs/>
          <w:szCs w:val="24"/>
          <w:lang w:val="hy-AM"/>
        </w:rPr>
      </w:pPr>
    </w:p>
    <w:p w:rsidR="00B5304B" w:rsidRPr="00B5304B" w:rsidRDefault="00B5304B" w:rsidP="00B5304B">
      <w:pPr>
        <w:ind w:firstLine="720"/>
        <w:rPr>
          <w:rFonts w:ascii="Sylfaen" w:eastAsia="Calibri" w:hAnsi="Sylfaen"/>
          <w:bCs/>
          <w:szCs w:val="24"/>
          <w:lang w:val="hy-AM"/>
        </w:rPr>
      </w:pPr>
      <w:r w:rsidRPr="00B5304B">
        <w:rPr>
          <w:rFonts w:ascii="Sylfaen" w:eastAsia="Calibri" w:hAnsi="Sylfaen"/>
          <w:b/>
          <w:bCs/>
          <w:szCs w:val="24"/>
          <w:u w:val="single"/>
          <w:lang w:val="hy-AM"/>
        </w:rPr>
        <w:t xml:space="preserve">Ջրահեռացման համակարգերում </w:t>
      </w:r>
      <w:r w:rsidRPr="00B5304B">
        <w:rPr>
          <w:rFonts w:ascii="Sylfaen" w:eastAsia="Calibri" w:hAnsi="Sylfaen"/>
          <w:bCs/>
          <w:szCs w:val="24"/>
          <w:lang w:val="hy-AM"/>
        </w:rPr>
        <w:t xml:space="preserve">նախատեսվող հիմնական աշխատանքներն են՝  </w:t>
      </w:r>
      <w:r w:rsidR="00294001">
        <w:rPr>
          <w:rFonts w:ascii="Sylfaen" w:eastAsia="Calibri" w:hAnsi="Sylfaen"/>
          <w:bCs/>
          <w:szCs w:val="24"/>
          <w:lang w:val="hy-AM"/>
        </w:rPr>
        <w:t>կ</w:t>
      </w:r>
      <w:r w:rsidRPr="00B5304B">
        <w:rPr>
          <w:rFonts w:ascii="Sylfaen" w:eastAsia="Calibri" w:hAnsi="Sylfaen"/>
          <w:bCs/>
          <w:szCs w:val="24"/>
          <w:lang w:val="hy-AM"/>
        </w:rPr>
        <w:t>ենցաղային և հեղեղատար կոյուղիների արտաքին ցանցերի, կոյուղու մաքրման կայանների, դիտահորերի ինչպես նաև տեխնիկական պայմանների հիման վրա անհատական կենցաղային և հեղեղատար համակարգերի վերանորոգում, կառուցում և վերակառուցում։</w:t>
      </w:r>
    </w:p>
    <w:p w:rsidR="00B5304B" w:rsidRPr="00B5304B" w:rsidRDefault="00B5304B" w:rsidP="00B5304B">
      <w:pPr>
        <w:ind w:firstLine="720"/>
        <w:rPr>
          <w:rFonts w:ascii="Sylfaen" w:eastAsia="Calibri" w:hAnsi="Sylfaen"/>
          <w:bCs/>
          <w:szCs w:val="24"/>
          <w:lang w:val="hy-AM"/>
        </w:rPr>
      </w:pPr>
    </w:p>
    <w:p w:rsidR="00B5304B" w:rsidRPr="00B5304B" w:rsidRDefault="00B5304B" w:rsidP="00B5304B">
      <w:pPr>
        <w:numPr>
          <w:ilvl w:val="0"/>
          <w:numId w:val="7"/>
        </w:numPr>
        <w:rPr>
          <w:rFonts w:ascii="Sylfaen" w:eastAsia="Calibri" w:hAnsi="Sylfaen"/>
          <w:bCs/>
          <w:szCs w:val="24"/>
          <w:lang w:val="hy-AM"/>
        </w:rPr>
      </w:pPr>
      <w:r w:rsidRPr="00B5304B">
        <w:rPr>
          <w:rFonts w:ascii="Sylfaen" w:eastAsia="Calibri" w:hAnsi="Sylfaen"/>
          <w:bCs/>
          <w:szCs w:val="24"/>
          <w:lang w:val="hy-AM"/>
        </w:rPr>
        <w:t>ՊԿԱԾ-ի շրջանակներում նախատեսվող յուրաքանչյուր աշխատանքի նախահաշվային արժեքը կարող է տատանվել 2  մլն. ՀՀ դրամից մինչև 80 մլն. ՀՀ դրամի սահմաններում։</w:t>
      </w:r>
    </w:p>
    <w:p w:rsidR="00B5304B" w:rsidRPr="00B5304B" w:rsidRDefault="00B5304B" w:rsidP="00B5304B">
      <w:pPr>
        <w:numPr>
          <w:ilvl w:val="0"/>
          <w:numId w:val="7"/>
        </w:numPr>
        <w:rPr>
          <w:rFonts w:ascii="Sylfaen" w:eastAsia="Calibri" w:hAnsi="Sylfaen"/>
          <w:bCs/>
          <w:szCs w:val="24"/>
          <w:lang w:val="hy-AM"/>
        </w:rPr>
      </w:pPr>
      <w:r w:rsidRPr="00B5304B">
        <w:rPr>
          <w:rFonts w:ascii="Sylfaen" w:eastAsia="Calibri" w:hAnsi="Sylfaen"/>
          <w:bCs/>
          <w:szCs w:val="24"/>
          <w:lang w:val="hy-AM"/>
        </w:rPr>
        <w:t xml:space="preserve">Նախաորակավորում անցած և </w:t>
      </w:r>
      <w:r w:rsidR="00294001">
        <w:rPr>
          <w:rFonts w:ascii="Sylfaen" w:eastAsia="Calibri" w:hAnsi="Sylfaen"/>
          <w:bCs/>
          <w:szCs w:val="24"/>
          <w:lang w:val="hy-AM"/>
        </w:rPr>
        <w:t>«</w:t>
      </w:r>
      <w:r w:rsidRPr="00B5304B">
        <w:rPr>
          <w:rFonts w:ascii="Sylfaen" w:eastAsia="Calibri" w:hAnsi="Sylfaen"/>
          <w:bCs/>
          <w:szCs w:val="24"/>
          <w:lang w:val="hy-AM"/>
        </w:rPr>
        <w:t>կարճ ցուցակում</w:t>
      </w:r>
      <w:r w:rsidR="00294001">
        <w:rPr>
          <w:rFonts w:ascii="Sylfaen" w:eastAsia="Calibri" w:hAnsi="Sylfaen"/>
          <w:bCs/>
          <w:szCs w:val="24"/>
          <w:lang w:val="hy-AM"/>
        </w:rPr>
        <w:t>»</w:t>
      </w:r>
      <w:r w:rsidRPr="00B5304B">
        <w:rPr>
          <w:rFonts w:ascii="Sylfaen" w:eastAsia="Calibri" w:hAnsi="Sylfaen"/>
          <w:bCs/>
          <w:szCs w:val="24"/>
          <w:lang w:val="hy-AM"/>
        </w:rPr>
        <w:t xml:space="preserve"> ընդգրկված բոլոր կապալառուները կենցաղային և հեղեղատար կոյուղու համակարգերի դիտահորերի վերանորոգման-վերակառուցման աշխատանքները իրականացնելու են շրջանակային համաձայնագրերով, Ընկերության կողմից սահմանված </w:t>
      </w:r>
      <w:r w:rsidR="004E7F8D" w:rsidRPr="00937C2F">
        <w:rPr>
          <w:rFonts w:ascii="Sylfaen" w:eastAsia="Calibri" w:hAnsi="Sylfaen"/>
          <w:bCs/>
          <w:szCs w:val="24"/>
          <w:lang w:val="hy-AM"/>
        </w:rPr>
        <w:t>(հաշվարկված ըստ շինարարական նորմերի արժեքի հաշվարկման կարգի /Հավելված N8, ՀՀ կառավարության 23.06.2011թ. N879-Ն որոշում/)</w:t>
      </w:r>
      <w:r w:rsidRPr="00B5304B">
        <w:rPr>
          <w:rFonts w:ascii="Sylfaen" w:eastAsia="Calibri" w:hAnsi="Sylfaen"/>
          <w:bCs/>
          <w:szCs w:val="24"/>
          <w:lang w:val="hy-AM"/>
        </w:rPr>
        <w:t xml:space="preserve"> միավոր գների հիման վրա:</w:t>
      </w:r>
    </w:p>
    <w:p w:rsidR="00B5304B" w:rsidRPr="00B5304B" w:rsidRDefault="00B5304B" w:rsidP="00B5304B">
      <w:pPr>
        <w:numPr>
          <w:ilvl w:val="0"/>
          <w:numId w:val="7"/>
        </w:numPr>
        <w:rPr>
          <w:rFonts w:ascii="Sylfaen" w:eastAsia="Calibri" w:hAnsi="Sylfaen"/>
          <w:bCs/>
          <w:szCs w:val="24"/>
          <w:lang w:val="hy-AM"/>
        </w:rPr>
      </w:pPr>
      <w:r w:rsidRPr="00B5304B">
        <w:rPr>
          <w:rFonts w:ascii="Sylfaen" w:eastAsia="Calibri" w:hAnsi="Sylfaen"/>
          <w:bCs/>
          <w:szCs w:val="24"/>
          <w:lang w:val="hy-AM"/>
        </w:rPr>
        <w:t>Տեխնիկական պայմանների հիման վրա նոր անհատական կենցաղային և հեղեղատար կոյուղու համակարգերի կառուցման աշխատանքները, Ընկերության կողմից սահմանված (</w:t>
      </w:r>
      <w:r w:rsidR="00F250CF" w:rsidRPr="00937C2F">
        <w:rPr>
          <w:rFonts w:ascii="Sylfaen" w:eastAsia="Calibri" w:hAnsi="Sylfaen"/>
          <w:bCs/>
          <w:szCs w:val="24"/>
          <w:lang w:val="hy-AM"/>
        </w:rPr>
        <w:t>հաշվարկված ըստ շինարարական նորմերի արժեքի հաշվարկման կարգի /Հավելված N8, ՀՀ կառավարության 23.06.2011թ. N879-Ն որոշում/)</w:t>
      </w:r>
      <w:r w:rsidR="00F250CF">
        <w:rPr>
          <w:rFonts w:ascii="Sylfaen" w:eastAsia="Calibri" w:hAnsi="Sylfaen"/>
          <w:bCs/>
          <w:szCs w:val="24"/>
          <w:lang w:val="hy-AM"/>
        </w:rPr>
        <w:t xml:space="preserve"> </w:t>
      </w:r>
      <w:r w:rsidRPr="00B5304B">
        <w:rPr>
          <w:rFonts w:ascii="Sylfaen" w:eastAsia="Calibri" w:hAnsi="Sylfaen"/>
          <w:bCs/>
          <w:szCs w:val="24"/>
          <w:lang w:val="hy-AM"/>
        </w:rPr>
        <w:t xml:space="preserve">միավոր գների հիման վրա, Երևան քաղաքում և հանրապետության մարզերում իրականացվելու են նախաորակավորում անցած և </w:t>
      </w:r>
      <w:r w:rsidR="0000085A">
        <w:rPr>
          <w:rFonts w:ascii="Sylfaen" w:eastAsia="Calibri" w:hAnsi="Sylfaen"/>
          <w:bCs/>
          <w:szCs w:val="24"/>
          <w:lang w:val="hy-AM"/>
        </w:rPr>
        <w:t>«</w:t>
      </w:r>
      <w:r w:rsidRPr="00B5304B">
        <w:rPr>
          <w:rFonts w:ascii="Sylfaen" w:eastAsia="Calibri" w:hAnsi="Sylfaen"/>
          <w:bCs/>
          <w:szCs w:val="24"/>
          <w:lang w:val="hy-AM"/>
        </w:rPr>
        <w:t>կարճ ցուցակում</w:t>
      </w:r>
      <w:r w:rsidR="0000085A">
        <w:rPr>
          <w:rFonts w:ascii="Sylfaen" w:eastAsia="Calibri" w:hAnsi="Sylfaen"/>
          <w:bCs/>
          <w:szCs w:val="24"/>
          <w:lang w:val="hy-AM"/>
        </w:rPr>
        <w:t>»</w:t>
      </w:r>
      <w:r w:rsidRPr="00B5304B">
        <w:rPr>
          <w:rFonts w:ascii="Sylfaen" w:eastAsia="Calibri" w:hAnsi="Sylfaen"/>
          <w:bCs/>
          <w:szCs w:val="24"/>
          <w:lang w:val="hy-AM"/>
        </w:rPr>
        <w:t xml:space="preserve"> ընդգրկված բոլոր Կապալառուների կողմից՝ համաձայն Ընկերության պատվեր-հանձնարարականների:</w:t>
      </w:r>
    </w:p>
    <w:p w:rsidR="00B5304B" w:rsidRDefault="00B5304B" w:rsidP="00A76A54">
      <w:pPr>
        <w:ind w:firstLine="720"/>
        <w:rPr>
          <w:rFonts w:ascii="Sylfaen" w:eastAsia="Calibri" w:hAnsi="Sylfaen"/>
          <w:bCs/>
          <w:szCs w:val="24"/>
          <w:lang w:val="hy-AM"/>
        </w:rPr>
      </w:pPr>
    </w:p>
    <w:p w:rsidR="002B36F6" w:rsidRPr="002B36F6" w:rsidRDefault="002B36F6" w:rsidP="002B36F6">
      <w:pPr>
        <w:ind w:firstLine="720"/>
        <w:rPr>
          <w:rFonts w:ascii="Sylfaen" w:eastAsia="Calibri" w:hAnsi="Sylfaen"/>
          <w:b/>
          <w:bCs/>
          <w:szCs w:val="24"/>
          <w:lang w:val="hy-AM"/>
        </w:rPr>
      </w:pPr>
      <w:r w:rsidRPr="002B36F6">
        <w:rPr>
          <w:rFonts w:ascii="Sylfaen" w:eastAsia="Calibri" w:hAnsi="Sylfaen"/>
          <w:b/>
          <w:bCs/>
          <w:szCs w:val="24"/>
          <w:lang w:val="hy-AM"/>
        </w:rPr>
        <w:t>Հայտատուին ներկայացվող պահանջներն են՝</w:t>
      </w:r>
    </w:p>
    <w:p w:rsidR="002B36F6" w:rsidRPr="002B36F6" w:rsidRDefault="002B36F6" w:rsidP="002B36F6">
      <w:pPr>
        <w:ind w:firstLine="720"/>
        <w:rPr>
          <w:rFonts w:ascii="Sylfaen" w:eastAsia="Calibri" w:hAnsi="Sylfaen"/>
          <w:bCs/>
          <w:szCs w:val="24"/>
          <w:lang w:val="hy-AM"/>
        </w:rPr>
      </w:pPr>
    </w:p>
    <w:p w:rsidR="002B36F6" w:rsidRPr="002B36F6" w:rsidRDefault="002B36F6" w:rsidP="002B36F6">
      <w:pPr>
        <w:numPr>
          <w:ilvl w:val="0"/>
          <w:numId w:val="1"/>
        </w:numPr>
        <w:rPr>
          <w:rFonts w:ascii="Sylfaen" w:eastAsia="Calibri" w:hAnsi="Sylfaen"/>
          <w:bCs/>
          <w:szCs w:val="24"/>
          <w:lang w:val="hy-AM"/>
        </w:rPr>
      </w:pPr>
      <w:r w:rsidRPr="002B36F6">
        <w:rPr>
          <w:rFonts w:ascii="Sylfaen" w:eastAsia="Calibri" w:hAnsi="Sylfaen"/>
          <w:bCs/>
          <w:szCs w:val="24"/>
          <w:lang w:val="hy-AM"/>
        </w:rPr>
        <w:t xml:space="preserve">Հայտատուն պետք է չունենա որևէ պատվիրատուի կողմից կասեցված (լուծված, դադարեցված) պայմանագրեր վերջին հինգ տարիների ընթացքում: </w:t>
      </w:r>
    </w:p>
    <w:p w:rsidR="002B36F6" w:rsidRPr="002B36F6" w:rsidRDefault="002B36F6" w:rsidP="002B36F6">
      <w:pPr>
        <w:numPr>
          <w:ilvl w:val="0"/>
          <w:numId w:val="1"/>
        </w:numPr>
        <w:rPr>
          <w:rFonts w:ascii="Sylfaen" w:eastAsia="Calibri" w:hAnsi="Sylfaen"/>
          <w:bCs/>
          <w:szCs w:val="24"/>
          <w:lang w:val="hy-AM"/>
        </w:rPr>
      </w:pPr>
      <w:r w:rsidRPr="002B36F6">
        <w:rPr>
          <w:rFonts w:ascii="Sylfaen" w:eastAsia="Calibri" w:hAnsi="Sylfaen"/>
          <w:bCs/>
          <w:szCs w:val="24"/>
          <w:lang w:val="hy-AM"/>
        </w:rPr>
        <w:t>Հայտատուն պետք է ունենա վերջին 5 տարիներ</w:t>
      </w:r>
      <w:r>
        <w:rPr>
          <w:rFonts w:ascii="Sylfaen" w:eastAsia="Calibri" w:hAnsi="Sylfaen"/>
          <w:bCs/>
          <w:szCs w:val="24"/>
          <w:lang w:val="hy-AM"/>
        </w:rPr>
        <w:t>ին</w:t>
      </w:r>
      <w:r w:rsidRPr="002B36F6">
        <w:rPr>
          <w:rFonts w:ascii="Sylfaen" w:eastAsia="Calibri" w:hAnsi="Sylfaen"/>
          <w:bCs/>
          <w:szCs w:val="24"/>
          <w:lang w:val="hy-AM"/>
        </w:rPr>
        <w:t xml:space="preserve"> նմանատիպ* (տես ստորև) շինարարական աշխատանքների ծավալներ, որոնց վերջին երեք տարվա կատարված աշխատանքների ընդհանուր արժեքը լինի ոչ պակաս, քան 600</w:t>
      </w:r>
      <w:r>
        <w:rPr>
          <w:rFonts w:ascii="Sylfaen" w:eastAsia="Calibri" w:hAnsi="Sylfaen"/>
          <w:bCs/>
          <w:szCs w:val="24"/>
          <w:lang w:val="hy-AM"/>
        </w:rPr>
        <w:t xml:space="preserve"> </w:t>
      </w:r>
      <w:r w:rsidRPr="002B36F6">
        <w:rPr>
          <w:rFonts w:ascii="Sylfaen" w:eastAsia="Calibri" w:hAnsi="Sylfaen"/>
          <w:bCs/>
          <w:szCs w:val="24"/>
          <w:lang w:val="hy-AM"/>
        </w:rPr>
        <w:t>մլն. ՀՀ դրամ, իսկ վերջին մեկ տարվա ընթացքում կատարված աշխատանքների արժեքը լինի ոչ պակաս, քան 200 մլն</w:t>
      </w:r>
      <w:r w:rsidRPr="002B36F6">
        <w:rPr>
          <w:rFonts w:eastAsia="Calibri"/>
          <w:bCs/>
          <w:szCs w:val="24"/>
          <w:lang w:val="hy-AM"/>
        </w:rPr>
        <w:t>․</w:t>
      </w:r>
      <w:r w:rsidRPr="002B36F6">
        <w:rPr>
          <w:rFonts w:ascii="Sylfaen" w:eastAsia="Calibri" w:hAnsi="Sylfaen"/>
          <w:bCs/>
          <w:szCs w:val="24"/>
          <w:lang w:val="hy-AM"/>
        </w:rPr>
        <w:t>ՀՀ դրամ</w:t>
      </w:r>
      <w:r w:rsidR="005A19F2">
        <w:rPr>
          <w:rFonts w:ascii="Sylfaen" w:eastAsia="Calibri" w:hAnsi="Sylfaen"/>
          <w:bCs/>
          <w:szCs w:val="24"/>
          <w:lang w:val="hy-AM"/>
        </w:rPr>
        <w:t>:</w:t>
      </w:r>
    </w:p>
    <w:p w:rsidR="0031022D" w:rsidRPr="0031022D" w:rsidRDefault="002B36F6" w:rsidP="0031022D">
      <w:pPr>
        <w:numPr>
          <w:ilvl w:val="0"/>
          <w:numId w:val="1"/>
        </w:numPr>
        <w:rPr>
          <w:rFonts w:ascii="Sylfaen" w:eastAsia="Calibri" w:hAnsi="Sylfaen"/>
          <w:bCs/>
          <w:szCs w:val="24"/>
          <w:lang w:val="hy-AM"/>
        </w:rPr>
      </w:pPr>
      <w:r w:rsidRPr="0031022D">
        <w:rPr>
          <w:rFonts w:ascii="Sylfaen" w:eastAsia="Calibri" w:hAnsi="Sylfaen"/>
          <w:bCs/>
          <w:szCs w:val="24"/>
          <w:lang w:val="hy-AM"/>
        </w:rPr>
        <w:lastRenderedPageBreak/>
        <w:t>Հայտատուն պետք է չունենա  մրցութային և պայմանագրային գործընթացների հետ կապված դատական գործառույթներ «Վեոլիա Գրուպ»</w:t>
      </w:r>
      <w:r w:rsidR="00507974" w:rsidRPr="0031022D">
        <w:rPr>
          <w:rFonts w:ascii="Sylfaen" w:eastAsia="Calibri" w:hAnsi="Sylfaen"/>
          <w:bCs/>
          <w:szCs w:val="24"/>
          <w:lang w:val="hy-AM"/>
        </w:rPr>
        <w:t>-</w:t>
      </w:r>
      <w:r w:rsidRPr="0031022D">
        <w:rPr>
          <w:rFonts w:ascii="Sylfaen" w:eastAsia="Calibri" w:hAnsi="Sylfaen"/>
          <w:bCs/>
          <w:szCs w:val="24"/>
          <w:lang w:val="hy-AM"/>
        </w:rPr>
        <w:t>ի, և վերջինիս պատկանող ստորաբաժանումների և ընկերությունների   հետ</w:t>
      </w:r>
      <w:r w:rsidR="00507974" w:rsidRPr="0031022D">
        <w:rPr>
          <w:rFonts w:ascii="Sylfaen" w:eastAsia="Calibri" w:hAnsi="Sylfaen"/>
          <w:bCs/>
          <w:szCs w:val="24"/>
          <w:lang w:val="hy-AM"/>
        </w:rPr>
        <w:t>:</w:t>
      </w:r>
    </w:p>
    <w:p w:rsidR="0031022D" w:rsidRPr="0031022D" w:rsidRDefault="002B36F6" w:rsidP="0031022D">
      <w:pPr>
        <w:numPr>
          <w:ilvl w:val="0"/>
          <w:numId w:val="1"/>
        </w:numPr>
        <w:rPr>
          <w:rFonts w:ascii="Sylfaen" w:eastAsia="Calibri" w:hAnsi="Sylfaen"/>
          <w:bCs/>
          <w:szCs w:val="24"/>
          <w:lang w:val="hy-AM"/>
        </w:rPr>
      </w:pPr>
      <w:r w:rsidRPr="0031022D">
        <w:rPr>
          <w:rFonts w:ascii="Sylfaen" w:eastAsia="Calibri" w:hAnsi="Sylfaen"/>
          <w:bCs/>
          <w:szCs w:val="24"/>
          <w:lang w:val="hy-AM"/>
        </w:rPr>
        <w:t xml:space="preserve">Հայտատուն պետք է ներգրավված չլինի միջազգային դոնոր կազմակերպությունների և ՀՀ ֆինանսների նախարարության </w:t>
      </w:r>
      <w:r w:rsidR="0031022D" w:rsidRPr="0031022D">
        <w:rPr>
          <w:rFonts w:ascii="Sylfaen" w:eastAsia="Calibri" w:hAnsi="Sylfaen"/>
          <w:bCs/>
          <w:szCs w:val="24"/>
          <w:lang w:val="hy-AM"/>
        </w:rPr>
        <w:t>գնումների գործընթացին մասնակցելու իրավունք չունեցողների ցանկում /</w:t>
      </w:r>
      <w:r w:rsidR="0031022D" w:rsidRPr="0031022D">
        <w:rPr>
          <w:rFonts w:ascii="Sylfaen" w:eastAsia="Calibri" w:hAnsi="Sylfaen"/>
          <w:bCs/>
          <w:szCs w:val="24"/>
          <w:lang w:val="hy-AM"/>
        </w:rPr>
        <w:t>«</w:t>
      </w:r>
      <w:r w:rsidR="0031022D" w:rsidRPr="0031022D">
        <w:rPr>
          <w:rFonts w:ascii="Sylfaen" w:eastAsia="Calibri" w:hAnsi="Sylfaen"/>
          <w:bCs/>
          <w:szCs w:val="24"/>
          <w:lang w:val="hy-AM"/>
        </w:rPr>
        <w:t>սև ցուցակ</w:t>
      </w:r>
      <w:r w:rsidR="0031022D" w:rsidRPr="0031022D">
        <w:rPr>
          <w:rFonts w:ascii="Sylfaen" w:eastAsia="Calibri" w:hAnsi="Sylfaen"/>
          <w:bCs/>
          <w:szCs w:val="24"/>
          <w:lang w:val="hy-AM"/>
        </w:rPr>
        <w:t>»</w:t>
      </w:r>
      <w:r w:rsidR="0031022D" w:rsidRPr="0031022D">
        <w:rPr>
          <w:rFonts w:ascii="Sylfaen" w:eastAsia="Calibri" w:hAnsi="Sylfaen"/>
          <w:bCs/>
          <w:szCs w:val="24"/>
          <w:lang w:val="hy-AM"/>
        </w:rPr>
        <w:t>/;</w:t>
      </w:r>
    </w:p>
    <w:p w:rsidR="002B36F6" w:rsidRPr="002B36F6" w:rsidRDefault="002B36F6" w:rsidP="002B36F6">
      <w:pPr>
        <w:numPr>
          <w:ilvl w:val="0"/>
          <w:numId w:val="1"/>
        </w:numPr>
        <w:rPr>
          <w:rFonts w:ascii="Sylfaen" w:eastAsia="Calibri" w:hAnsi="Sylfaen"/>
          <w:bCs/>
          <w:szCs w:val="24"/>
          <w:lang w:val="hy-AM"/>
        </w:rPr>
      </w:pPr>
      <w:bookmarkStart w:id="0" w:name="_GoBack"/>
      <w:bookmarkEnd w:id="0"/>
      <w:r w:rsidRPr="002B36F6">
        <w:rPr>
          <w:rFonts w:ascii="Sylfaen" w:eastAsia="Calibri" w:hAnsi="Sylfaen"/>
          <w:bCs/>
          <w:szCs w:val="24"/>
          <w:lang w:val="hy-AM"/>
        </w:rPr>
        <w:t>Ընկերությունը պետք է սնանկ ճանաչված չլինի</w:t>
      </w:r>
      <w:r w:rsidR="00507974">
        <w:rPr>
          <w:rFonts w:ascii="Sylfaen" w:eastAsia="Calibri" w:hAnsi="Sylfaen"/>
          <w:bCs/>
          <w:szCs w:val="24"/>
          <w:lang w:val="hy-AM"/>
        </w:rPr>
        <w:t>:</w:t>
      </w:r>
    </w:p>
    <w:p w:rsidR="002B36F6" w:rsidRPr="002B36F6" w:rsidRDefault="002B36F6" w:rsidP="002B36F6">
      <w:pPr>
        <w:numPr>
          <w:ilvl w:val="0"/>
          <w:numId w:val="1"/>
        </w:numPr>
        <w:rPr>
          <w:rFonts w:ascii="Sylfaen" w:eastAsia="Calibri" w:hAnsi="Sylfaen"/>
          <w:bCs/>
          <w:szCs w:val="24"/>
          <w:lang w:val="hy-AM"/>
        </w:rPr>
      </w:pPr>
      <w:r w:rsidRPr="002B36F6">
        <w:rPr>
          <w:rFonts w:ascii="Sylfaen" w:eastAsia="Calibri" w:hAnsi="Sylfaen"/>
          <w:bCs/>
          <w:szCs w:val="24"/>
          <w:lang w:val="hy-AM"/>
        </w:rPr>
        <w:t>Հայտատուները չպետք է ունենան շահերի բախում, հակառակ դեպքում կորակազրկվեն</w:t>
      </w:r>
      <w:r w:rsidRPr="002B36F6">
        <w:rPr>
          <w:rFonts w:eastAsia="Calibri"/>
          <w:bCs/>
          <w:szCs w:val="24"/>
          <w:lang w:val="hy-AM"/>
        </w:rPr>
        <w:t>․</w:t>
      </w:r>
    </w:p>
    <w:p w:rsidR="002B36F6" w:rsidRPr="002B36F6" w:rsidRDefault="002B36F6" w:rsidP="002B36F6">
      <w:pPr>
        <w:numPr>
          <w:ilvl w:val="0"/>
          <w:numId w:val="8"/>
        </w:numPr>
        <w:rPr>
          <w:rFonts w:ascii="Sylfaen" w:eastAsia="Calibri" w:hAnsi="Sylfaen"/>
          <w:bCs/>
          <w:szCs w:val="24"/>
          <w:lang w:val="hy-AM"/>
        </w:rPr>
      </w:pPr>
      <w:r w:rsidRPr="002B36F6">
        <w:rPr>
          <w:rFonts w:ascii="Sylfaen" w:eastAsia="Calibri" w:hAnsi="Sylfaen"/>
          <w:bCs/>
          <w:szCs w:val="24"/>
          <w:lang w:val="hy-AM"/>
        </w:rPr>
        <w:t>Շահերի բախում է համարվում, եթե Հայտատուները կամ նրանց որևէ մասնաճյուղը մասնակցել են սույն ծրագրին՝ որպես խորհրդատու՝ նախագծման կամ տեխնիկական բնութագրերի պատրաստման նպատակով,</w:t>
      </w:r>
    </w:p>
    <w:p w:rsidR="002B36F6" w:rsidRPr="002B36F6" w:rsidRDefault="002B36F6" w:rsidP="002B36F6">
      <w:pPr>
        <w:numPr>
          <w:ilvl w:val="0"/>
          <w:numId w:val="8"/>
        </w:numPr>
        <w:rPr>
          <w:rFonts w:ascii="Sylfaen" w:eastAsia="Calibri" w:hAnsi="Sylfaen"/>
          <w:bCs/>
          <w:szCs w:val="24"/>
          <w:lang w:val="hy-AM"/>
        </w:rPr>
      </w:pPr>
      <w:r w:rsidRPr="002B36F6">
        <w:rPr>
          <w:rFonts w:ascii="Sylfaen" w:eastAsia="Calibri" w:hAnsi="Sylfaen"/>
          <w:bCs/>
          <w:szCs w:val="24"/>
          <w:lang w:val="hy-AM"/>
        </w:rPr>
        <w:t xml:space="preserve">Շահերի բախում  է համարվում, եթե Հայտատուն մեկ կամ մի քանի մասնակիցների հետ զուգակցված է կամ զուգակցված է եղել անցյալում՝ ուղղակի կամ անուղղակի կերպով խորհրդատու կամ այլ անձի հետ, որը մշակել է նախագիծը կամ կազմել է տեխնիկական մասնագրերը, </w:t>
      </w:r>
    </w:p>
    <w:p w:rsidR="002B36F6" w:rsidRPr="002B36F6" w:rsidRDefault="002B36F6" w:rsidP="002B36F6">
      <w:pPr>
        <w:numPr>
          <w:ilvl w:val="0"/>
          <w:numId w:val="8"/>
        </w:numPr>
        <w:rPr>
          <w:rFonts w:ascii="Sylfaen" w:eastAsia="Calibri" w:hAnsi="Sylfaen"/>
          <w:bCs/>
          <w:szCs w:val="24"/>
          <w:lang w:val="hy-AM"/>
        </w:rPr>
      </w:pPr>
      <w:r w:rsidRPr="002B36F6">
        <w:rPr>
          <w:rFonts w:ascii="Sylfaen" w:eastAsia="Calibri" w:hAnsi="Sylfaen"/>
          <w:bCs/>
          <w:szCs w:val="24"/>
          <w:lang w:val="hy-AM"/>
        </w:rPr>
        <w:t>Շահերի բախում  է համարվում, եթե Հայտատուներն ունեն սերտ բիզնես կամ ընտանեկան հարաբերություններ «Վեոլիա Ջուր» ՓԲԸ-ի մասնագիտական</w:t>
      </w:r>
      <w:r w:rsidRPr="00507974">
        <w:rPr>
          <w:rFonts w:ascii="Sylfaen" w:eastAsia="Calibri" w:hAnsi="Sylfaen"/>
          <w:bCs/>
          <w:szCs w:val="24"/>
          <w:lang w:val="hy-AM"/>
        </w:rPr>
        <w:t>​​</w:t>
      </w:r>
      <w:r w:rsidRPr="002B36F6">
        <w:rPr>
          <w:rFonts w:ascii="Sylfaen" w:eastAsia="Calibri" w:hAnsi="Sylfaen"/>
          <w:bCs/>
          <w:szCs w:val="24"/>
          <w:lang w:val="hy-AM"/>
        </w:rPr>
        <w:t>անձնակազմի հետ, որ</w:t>
      </w:r>
      <w:r w:rsidR="00507974">
        <w:rPr>
          <w:rFonts w:ascii="Sylfaen" w:eastAsia="Calibri" w:hAnsi="Sylfaen"/>
          <w:bCs/>
          <w:szCs w:val="24"/>
          <w:lang w:val="hy-AM"/>
        </w:rPr>
        <w:t>ն</w:t>
      </w:r>
      <w:r w:rsidRPr="002B36F6">
        <w:rPr>
          <w:rFonts w:ascii="Sylfaen" w:eastAsia="Calibri" w:hAnsi="Sylfaen"/>
          <w:bCs/>
          <w:szCs w:val="24"/>
          <w:lang w:val="hy-AM"/>
        </w:rPr>
        <w:t xml:space="preserve"> ուղղակի կամ անուղղակի ներգրավված </w:t>
      </w:r>
      <w:r w:rsidR="00507974">
        <w:rPr>
          <w:rFonts w:ascii="Sylfaen" w:eastAsia="Calibri" w:hAnsi="Sylfaen"/>
          <w:bCs/>
          <w:szCs w:val="24"/>
          <w:lang w:val="hy-AM"/>
        </w:rPr>
        <w:t>է</w:t>
      </w:r>
      <w:r w:rsidRPr="002B36F6">
        <w:rPr>
          <w:rFonts w:ascii="Sylfaen" w:eastAsia="Calibri" w:hAnsi="Sylfaen"/>
          <w:bCs/>
          <w:szCs w:val="24"/>
          <w:lang w:val="hy-AM"/>
        </w:rPr>
        <w:t xml:space="preserve"> սույն նախաորակ</w:t>
      </w:r>
      <w:r w:rsidR="00507974">
        <w:rPr>
          <w:rFonts w:ascii="Sylfaen" w:eastAsia="Calibri" w:hAnsi="Sylfaen"/>
          <w:bCs/>
          <w:szCs w:val="24"/>
          <w:lang w:val="hy-AM"/>
        </w:rPr>
        <w:t>ավ</w:t>
      </w:r>
      <w:r w:rsidRPr="002B36F6">
        <w:rPr>
          <w:rFonts w:ascii="Sylfaen" w:eastAsia="Calibri" w:hAnsi="Sylfaen"/>
          <w:bCs/>
          <w:szCs w:val="24"/>
          <w:lang w:val="hy-AM"/>
        </w:rPr>
        <w:t>որման փաստաթղթերի, տեխնիկական մասնագրերի պատրաստման և հայտերի գնահատման մեջ կամ հետագայում կներգրավվ</w:t>
      </w:r>
      <w:r w:rsidR="00507974">
        <w:rPr>
          <w:rFonts w:ascii="Sylfaen" w:eastAsia="Calibri" w:hAnsi="Sylfaen"/>
          <w:bCs/>
          <w:szCs w:val="24"/>
          <w:lang w:val="hy-AM"/>
        </w:rPr>
        <w:t>ի</w:t>
      </w:r>
      <w:r w:rsidRPr="002B36F6">
        <w:rPr>
          <w:rFonts w:ascii="Sylfaen" w:eastAsia="Calibri" w:hAnsi="Sylfaen"/>
          <w:bCs/>
          <w:szCs w:val="24"/>
          <w:lang w:val="hy-AM"/>
        </w:rPr>
        <w:t xml:space="preserve"> աշխատանքների տեխնիկական վերահսկման ծառայությունների մատուցման գործառույթներին, բացառությամբ այն դեպքերի, երբ այդ հարաբերություններից բխող հակամարտությունը «Վեոլիա Ջուր» ՓԲԸ-ի համար ընդունելի ձևով կարգավորվել է նախնական որակավորման, մրցույթների և պայմանագրերի իրականացման ընթացքում:</w:t>
      </w:r>
    </w:p>
    <w:p w:rsidR="002B36F6" w:rsidRPr="002B36F6" w:rsidRDefault="002B36F6" w:rsidP="002B36F6">
      <w:pPr>
        <w:ind w:firstLine="720"/>
        <w:rPr>
          <w:rFonts w:ascii="Sylfaen" w:eastAsia="Calibri" w:hAnsi="Sylfaen"/>
          <w:bCs/>
          <w:szCs w:val="24"/>
          <w:lang w:val="hy-AM"/>
        </w:rPr>
      </w:pPr>
    </w:p>
    <w:p w:rsidR="002B36F6" w:rsidRPr="002B36F6" w:rsidRDefault="002B36F6" w:rsidP="002B36F6">
      <w:pPr>
        <w:ind w:firstLine="720"/>
        <w:rPr>
          <w:rFonts w:ascii="Sylfaen" w:eastAsia="Calibri" w:hAnsi="Sylfaen"/>
          <w:b/>
          <w:bCs/>
          <w:szCs w:val="24"/>
          <w:lang w:val="hy-AM"/>
        </w:rPr>
      </w:pPr>
      <w:r w:rsidRPr="002B36F6">
        <w:rPr>
          <w:rFonts w:ascii="Sylfaen" w:eastAsia="Calibri" w:hAnsi="Sylfaen"/>
          <w:b/>
          <w:bCs/>
          <w:szCs w:val="24"/>
          <w:lang w:val="hy-AM"/>
        </w:rPr>
        <w:t>Վերը նշված պահանջներից որևիցէ մեկին չբավարարելու կամ չհամապատասխանելու դեպքում Հայտատուն կհամարվի ոչ իրավասու նախաորակավորման մրցույթին մասնակցելու համար:</w:t>
      </w:r>
    </w:p>
    <w:p w:rsidR="002B36F6" w:rsidRDefault="002B36F6" w:rsidP="002B36F6">
      <w:pPr>
        <w:ind w:firstLine="720"/>
        <w:rPr>
          <w:rFonts w:ascii="Sylfaen" w:eastAsia="Calibri" w:hAnsi="Sylfaen"/>
          <w:b/>
          <w:bCs/>
          <w:szCs w:val="24"/>
          <w:lang w:val="hy-AM"/>
        </w:rPr>
      </w:pPr>
      <w:r w:rsidRPr="002B36F6">
        <w:rPr>
          <w:rFonts w:ascii="Sylfaen" w:eastAsia="Calibri" w:hAnsi="Sylfaen"/>
          <w:b/>
          <w:bCs/>
          <w:szCs w:val="24"/>
          <w:lang w:val="hy-AM"/>
        </w:rPr>
        <w:t xml:space="preserve">Նախաորակավորման մրցույթի պահանջները բավարարելուց և </w:t>
      </w:r>
      <w:r w:rsidR="00727F13">
        <w:rPr>
          <w:rFonts w:ascii="Sylfaen" w:eastAsia="Calibri" w:hAnsi="Sylfaen"/>
          <w:b/>
          <w:bCs/>
          <w:szCs w:val="24"/>
          <w:lang w:val="hy-AM"/>
        </w:rPr>
        <w:t>«</w:t>
      </w:r>
      <w:r w:rsidRPr="002B36F6">
        <w:rPr>
          <w:rFonts w:ascii="Sylfaen" w:eastAsia="Calibri" w:hAnsi="Sylfaen"/>
          <w:b/>
          <w:bCs/>
          <w:szCs w:val="24"/>
          <w:lang w:val="hy-AM"/>
        </w:rPr>
        <w:t>կարճ ցուցակում</w:t>
      </w:r>
      <w:r w:rsidR="00727F13">
        <w:rPr>
          <w:rFonts w:ascii="Sylfaen" w:eastAsia="Calibri" w:hAnsi="Sylfaen"/>
          <w:b/>
          <w:bCs/>
          <w:szCs w:val="24"/>
          <w:lang w:val="hy-AM"/>
        </w:rPr>
        <w:t>»</w:t>
      </w:r>
      <w:r w:rsidRPr="002B36F6">
        <w:rPr>
          <w:rFonts w:ascii="Sylfaen" w:eastAsia="Calibri" w:hAnsi="Sylfaen"/>
          <w:b/>
          <w:bCs/>
          <w:szCs w:val="24"/>
          <w:lang w:val="hy-AM"/>
        </w:rPr>
        <w:t xml:space="preserve"> </w:t>
      </w:r>
      <w:r w:rsidR="00727F13">
        <w:rPr>
          <w:rFonts w:ascii="Sylfaen" w:eastAsia="Calibri" w:hAnsi="Sylfaen"/>
          <w:b/>
          <w:bCs/>
          <w:szCs w:val="24"/>
          <w:lang w:val="hy-AM"/>
        </w:rPr>
        <w:t xml:space="preserve">ընդգրկվելուց </w:t>
      </w:r>
      <w:r w:rsidRPr="002B36F6">
        <w:rPr>
          <w:rFonts w:ascii="Sylfaen" w:eastAsia="Calibri" w:hAnsi="Sylfaen"/>
          <w:b/>
          <w:bCs/>
          <w:szCs w:val="24"/>
          <w:lang w:val="hy-AM"/>
        </w:rPr>
        <w:t xml:space="preserve">հետո, վերոնշյալ հանգամանքներից ցանկացածի ի հայտ գալու դեպքում </w:t>
      </w:r>
      <w:r w:rsidR="00727F13">
        <w:rPr>
          <w:rFonts w:ascii="Sylfaen" w:eastAsia="Calibri" w:hAnsi="Sylfaen"/>
          <w:b/>
          <w:bCs/>
          <w:szCs w:val="24"/>
          <w:lang w:val="hy-AM"/>
        </w:rPr>
        <w:t>Հ</w:t>
      </w:r>
      <w:r w:rsidRPr="002B36F6">
        <w:rPr>
          <w:rFonts w:ascii="Sylfaen" w:eastAsia="Calibri" w:hAnsi="Sylfaen"/>
          <w:b/>
          <w:bCs/>
          <w:szCs w:val="24"/>
          <w:lang w:val="hy-AM"/>
        </w:rPr>
        <w:t>այտատուն կորակազրկվի։</w:t>
      </w:r>
    </w:p>
    <w:p w:rsidR="00507974" w:rsidRDefault="00507974" w:rsidP="002B36F6">
      <w:pPr>
        <w:ind w:firstLine="720"/>
        <w:rPr>
          <w:rFonts w:ascii="Sylfaen" w:eastAsia="Calibri" w:hAnsi="Sylfaen"/>
          <w:b/>
          <w:bCs/>
          <w:szCs w:val="24"/>
          <w:lang w:val="hy-AM"/>
        </w:rPr>
      </w:pPr>
    </w:p>
    <w:p w:rsidR="004D47A8" w:rsidRPr="004D47A8" w:rsidRDefault="004D47A8" w:rsidP="004D47A8">
      <w:pPr>
        <w:ind w:firstLine="720"/>
        <w:rPr>
          <w:rFonts w:ascii="Sylfaen" w:eastAsia="Calibri" w:hAnsi="Sylfaen"/>
          <w:b/>
          <w:bCs/>
          <w:szCs w:val="24"/>
          <w:lang w:val="hy-AM"/>
        </w:rPr>
      </w:pPr>
      <w:r w:rsidRPr="004D47A8">
        <w:rPr>
          <w:rFonts w:ascii="Sylfaen" w:eastAsia="Calibri" w:hAnsi="Sylfaen"/>
          <w:b/>
          <w:bCs/>
          <w:szCs w:val="24"/>
          <w:lang w:val="hy-AM"/>
        </w:rPr>
        <w:t>Հայտատուների որակավորման գնահատման չափանիշներն են՝</w:t>
      </w:r>
    </w:p>
    <w:p w:rsidR="004D47A8" w:rsidRPr="004D47A8" w:rsidRDefault="004D47A8" w:rsidP="004D47A8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2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17"/>
      </w:tblGrid>
      <w:tr w:rsidR="004D47A8" w:rsidRPr="004D47A8" w:rsidTr="00F9724A">
        <w:tc>
          <w:tcPr>
            <w:tcW w:w="567" w:type="dxa"/>
          </w:tcPr>
          <w:p w:rsidR="004D47A8" w:rsidRPr="004D47A8" w:rsidRDefault="004D47A8" w:rsidP="004D47A8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հ/հ</w:t>
            </w:r>
          </w:p>
        </w:tc>
        <w:tc>
          <w:tcPr>
            <w:tcW w:w="6946" w:type="dxa"/>
          </w:tcPr>
          <w:p w:rsidR="004D47A8" w:rsidRPr="004D47A8" w:rsidRDefault="004D47A8" w:rsidP="004D47A8">
            <w:pPr>
              <w:ind w:left="252"/>
              <w:jc w:val="left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b/>
                <w:szCs w:val="22"/>
                <w:lang w:val="hy-AM"/>
              </w:rPr>
              <w:t>Հայտատուների որակավորման չափանիշները</w:t>
            </w:r>
          </w:p>
        </w:tc>
        <w:tc>
          <w:tcPr>
            <w:tcW w:w="2117" w:type="dxa"/>
          </w:tcPr>
          <w:p w:rsidR="004D47A8" w:rsidRPr="004D47A8" w:rsidRDefault="004D47A8" w:rsidP="004D47A8">
            <w:pPr>
              <w:ind w:left="6"/>
              <w:jc w:val="center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b/>
                <w:szCs w:val="22"/>
                <w:lang w:val="hy-AM"/>
              </w:rPr>
              <w:t>Առավելագույն միավ</w:t>
            </w:r>
            <w:r w:rsidRPr="004D47A8">
              <w:rPr>
                <w:b/>
                <w:szCs w:val="22"/>
                <w:lang w:val="hy-AM"/>
              </w:rPr>
              <w:t>որներ</w:t>
            </w:r>
          </w:p>
        </w:tc>
      </w:tr>
      <w:tr w:rsidR="004D47A8" w:rsidRPr="004D47A8" w:rsidTr="00F9724A">
        <w:tc>
          <w:tcPr>
            <w:tcW w:w="567" w:type="dxa"/>
          </w:tcPr>
          <w:p w:rsidR="004D47A8" w:rsidRPr="004D47A8" w:rsidRDefault="004D47A8" w:rsidP="004D47A8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4D47A8">
              <w:rPr>
                <w:rFonts w:ascii="Sylfaen" w:hAnsi="Sylfaen" w:cstheme="minorHAnsi"/>
                <w:szCs w:val="22"/>
                <w:lang w:val="hy-AM"/>
              </w:rPr>
              <w:t>1</w:t>
            </w:r>
          </w:p>
        </w:tc>
        <w:tc>
          <w:tcPr>
            <w:tcW w:w="6946" w:type="dxa"/>
          </w:tcPr>
          <w:p w:rsidR="004D47A8" w:rsidRPr="004D47A8" w:rsidRDefault="004D47A8" w:rsidP="004D47A8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Վերջին 3 տարիներում կատարված ընդհանուր շինարարական աշխատանքների ծավալները` ՀՀ-ում</w:t>
            </w:r>
          </w:p>
        </w:tc>
        <w:tc>
          <w:tcPr>
            <w:tcW w:w="2117" w:type="dxa"/>
          </w:tcPr>
          <w:p w:rsidR="004D47A8" w:rsidRPr="004D47A8" w:rsidRDefault="004D47A8" w:rsidP="004D47A8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10</w:t>
            </w:r>
          </w:p>
        </w:tc>
      </w:tr>
      <w:tr w:rsidR="004D47A8" w:rsidRPr="004D47A8" w:rsidTr="00F9724A">
        <w:tc>
          <w:tcPr>
            <w:tcW w:w="567" w:type="dxa"/>
          </w:tcPr>
          <w:p w:rsidR="004D47A8" w:rsidRPr="004D47A8" w:rsidRDefault="004D47A8" w:rsidP="004D47A8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en-US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4D47A8">
              <w:rPr>
                <w:rFonts w:ascii="Sylfaen" w:hAnsi="Sylfaen" w:cstheme="minorHAnsi"/>
                <w:szCs w:val="22"/>
                <w:lang w:val="hy-AM"/>
              </w:rPr>
              <w:t>2</w:t>
            </w:r>
            <w:r w:rsidRPr="004D47A8">
              <w:rPr>
                <w:rFonts w:ascii="Sylfaen" w:hAnsi="Sylfaen" w:cstheme="minorHAnsi"/>
                <w:szCs w:val="22"/>
                <w:lang w:val="en-US"/>
              </w:rPr>
              <w:t>*</w:t>
            </w:r>
          </w:p>
        </w:tc>
        <w:tc>
          <w:tcPr>
            <w:tcW w:w="6946" w:type="dxa"/>
          </w:tcPr>
          <w:p w:rsidR="004D47A8" w:rsidRPr="004D47A8" w:rsidRDefault="004D47A8" w:rsidP="004D47A8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 xml:space="preserve">Վերջին 5 տարիներում կատարված նմանատիպ շինարարական աշխատանքների ծավալները՝ ՀՀ-ում </w:t>
            </w:r>
          </w:p>
        </w:tc>
        <w:tc>
          <w:tcPr>
            <w:tcW w:w="2117" w:type="dxa"/>
          </w:tcPr>
          <w:p w:rsidR="004D47A8" w:rsidRPr="004D47A8" w:rsidRDefault="004D47A8" w:rsidP="004D47A8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40</w:t>
            </w:r>
          </w:p>
        </w:tc>
      </w:tr>
      <w:tr w:rsidR="004D47A8" w:rsidRPr="004D47A8" w:rsidTr="00F9724A">
        <w:tc>
          <w:tcPr>
            <w:tcW w:w="567" w:type="dxa"/>
          </w:tcPr>
          <w:p w:rsidR="004D47A8" w:rsidRPr="004D47A8" w:rsidRDefault="004D47A8" w:rsidP="004D47A8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4D47A8">
              <w:rPr>
                <w:rFonts w:ascii="Sylfaen" w:hAnsi="Sylfaen" w:cstheme="minorHAnsi"/>
                <w:szCs w:val="22"/>
                <w:lang w:val="hy-AM"/>
              </w:rPr>
              <w:t>3</w:t>
            </w:r>
          </w:p>
        </w:tc>
        <w:tc>
          <w:tcPr>
            <w:tcW w:w="6946" w:type="dxa"/>
          </w:tcPr>
          <w:p w:rsidR="004D47A8" w:rsidRPr="004D47A8" w:rsidRDefault="004D47A8" w:rsidP="00F9724A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Մեքենա-մեխանիզմների</w:t>
            </w:r>
            <w:r w:rsidR="00F9724A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4D47A8">
              <w:rPr>
                <w:rFonts w:ascii="Sylfaen" w:hAnsi="Sylfaen" w:cstheme="minorHAnsi"/>
                <w:szCs w:val="22"/>
                <w:lang w:val="hy-AM"/>
              </w:rPr>
              <w:t>և սարքավորումների առկայություն</w:t>
            </w:r>
          </w:p>
        </w:tc>
        <w:tc>
          <w:tcPr>
            <w:tcW w:w="2117" w:type="dxa"/>
          </w:tcPr>
          <w:p w:rsidR="004D47A8" w:rsidRPr="004D47A8" w:rsidRDefault="004D47A8" w:rsidP="004D47A8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  <w:tr w:rsidR="004D47A8" w:rsidRPr="004D47A8" w:rsidTr="00F9724A">
        <w:tc>
          <w:tcPr>
            <w:tcW w:w="567" w:type="dxa"/>
          </w:tcPr>
          <w:p w:rsidR="004D47A8" w:rsidRPr="004D47A8" w:rsidRDefault="004D47A8" w:rsidP="004D47A8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lastRenderedPageBreak/>
              <w:t xml:space="preserve"> </w:t>
            </w:r>
            <w:r w:rsidRPr="004D47A8">
              <w:rPr>
                <w:rFonts w:ascii="Sylfaen" w:hAnsi="Sylfaen" w:cstheme="minorHAnsi"/>
                <w:szCs w:val="22"/>
                <w:lang w:val="hy-AM"/>
              </w:rPr>
              <w:t>4</w:t>
            </w:r>
          </w:p>
        </w:tc>
        <w:tc>
          <w:tcPr>
            <w:tcW w:w="6946" w:type="dxa"/>
          </w:tcPr>
          <w:p w:rsidR="004D47A8" w:rsidRPr="004D47A8" w:rsidRDefault="004D47A8" w:rsidP="004D47A8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Հիմնական աշխատակազմ</w:t>
            </w:r>
          </w:p>
        </w:tc>
        <w:tc>
          <w:tcPr>
            <w:tcW w:w="2117" w:type="dxa"/>
          </w:tcPr>
          <w:p w:rsidR="004D47A8" w:rsidRPr="004D47A8" w:rsidRDefault="004D47A8" w:rsidP="004D47A8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  <w:tr w:rsidR="004D47A8" w:rsidRPr="004D47A8" w:rsidTr="00F9724A">
        <w:tc>
          <w:tcPr>
            <w:tcW w:w="567" w:type="dxa"/>
          </w:tcPr>
          <w:p w:rsidR="004D47A8" w:rsidRPr="004D47A8" w:rsidRDefault="004D47A8" w:rsidP="004D47A8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en-US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4D47A8">
              <w:rPr>
                <w:rFonts w:ascii="Sylfaen" w:hAnsi="Sylfaen" w:cstheme="minorHAnsi"/>
                <w:szCs w:val="22"/>
                <w:lang w:val="en-US"/>
              </w:rPr>
              <w:t>5</w:t>
            </w:r>
          </w:p>
        </w:tc>
        <w:tc>
          <w:tcPr>
            <w:tcW w:w="6946" w:type="dxa"/>
          </w:tcPr>
          <w:p w:rsidR="004D47A8" w:rsidRPr="004D47A8" w:rsidRDefault="004D47A8" w:rsidP="004D47A8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Ֆինանսական ռեսուրսներ</w:t>
            </w:r>
          </w:p>
        </w:tc>
        <w:tc>
          <w:tcPr>
            <w:tcW w:w="2117" w:type="dxa"/>
          </w:tcPr>
          <w:p w:rsidR="004D47A8" w:rsidRPr="004D47A8" w:rsidRDefault="004D47A8" w:rsidP="004D47A8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4D47A8">
              <w:rPr>
                <w:rFonts w:ascii="Sylfaen" w:hAnsi="Sylfaen" w:cstheme="minorHAnsi"/>
                <w:szCs w:val="22"/>
                <w:lang w:val="hy-AM"/>
              </w:rPr>
              <w:t>10</w:t>
            </w:r>
          </w:p>
        </w:tc>
      </w:tr>
    </w:tbl>
    <w:p w:rsidR="004D47A8" w:rsidRPr="004D47A8" w:rsidRDefault="004D47A8" w:rsidP="004D47A8">
      <w:pPr>
        <w:rPr>
          <w:rFonts w:ascii="Sylfaen" w:hAnsi="Sylfaen" w:cstheme="minorHAnsi"/>
          <w:b/>
          <w:sz w:val="22"/>
          <w:szCs w:val="22"/>
          <w:lang w:val="en-US"/>
        </w:rPr>
      </w:pPr>
    </w:p>
    <w:p w:rsidR="004D47A8" w:rsidRPr="004D47A8" w:rsidRDefault="004D47A8" w:rsidP="004D47A8">
      <w:pPr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b/>
          <w:szCs w:val="24"/>
          <w:lang w:val="en-US"/>
        </w:rPr>
        <w:t>*</w:t>
      </w:r>
      <w:r w:rsidRPr="004D47A8">
        <w:rPr>
          <w:rFonts w:ascii="Sylfaen" w:hAnsi="Sylfaen" w:cstheme="minorHAnsi"/>
          <w:b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szCs w:val="24"/>
          <w:lang w:val="hy-AM"/>
        </w:rPr>
        <w:t xml:space="preserve">Նմանատիպ աշխատանքներում, հավասար միավորների դեպքում, առաջնահերթ կհամարվի ջրաչափերի տեղադրման աշխատանքների առկայությունը </w:t>
      </w:r>
      <w:r w:rsidRPr="004D47A8">
        <w:rPr>
          <w:rFonts w:ascii="Sylfaen" w:hAnsi="Sylfaen" w:cstheme="minorHAnsi"/>
          <w:szCs w:val="24"/>
          <w:lang w:val="en-US"/>
        </w:rPr>
        <w:t>(</w:t>
      </w:r>
      <w:r w:rsidRPr="004D47A8">
        <w:rPr>
          <w:rFonts w:ascii="Sylfaen" w:hAnsi="Sylfaen" w:cstheme="minorHAnsi"/>
          <w:szCs w:val="24"/>
          <w:lang w:val="hy-AM"/>
        </w:rPr>
        <w:t>առնվազն 500 հատ</w:t>
      </w:r>
      <w:proofErr w:type="gramStart"/>
      <w:r w:rsidRPr="004D47A8">
        <w:rPr>
          <w:rFonts w:ascii="Sylfaen" w:hAnsi="Sylfaen" w:cstheme="minorHAnsi"/>
          <w:szCs w:val="24"/>
          <w:lang w:val="en-US"/>
        </w:rPr>
        <w:t>)</w:t>
      </w:r>
      <w:r>
        <w:rPr>
          <w:rFonts w:ascii="Sylfaen" w:hAnsi="Sylfaen" w:cstheme="minorHAnsi"/>
          <w:szCs w:val="24"/>
          <w:lang w:val="hy-AM"/>
        </w:rPr>
        <w:t>։</w:t>
      </w:r>
      <w:proofErr w:type="gramEnd"/>
    </w:p>
    <w:p w:rsidR="004D47A8" w:rsidRPr="004D47A8" w:rsidRDefault="00513848" w:rsidP="00513848">
      <w:pPr>
        <w:rPr>
          <w:rFonts w:ascii="Sylfaen" w:hAnsi="Sylfaen" w:cstheme="minorHAnsi"/>
          <w:szCs w:val="24"/>
          <w:lang w:val="hy-AM"/>
        </w:rPr>
      </w:pPr>
      <w:r>
        <w:rPr>
          <w:rFonts w:ascii="Sylfaen" w:hAnsi="Sylfaen" w:cstheme="minorHAnsi"/>
          <w:szCs w:val="24"/>
          <w:lang w:val="hy-AM"/>
        </w:rPr>
        <w:t xml:space="preserve">     </w:t>
      </w:r>
      <w:r w:rsidR="004D47A8" w:rsidRPr="004D47A8">
        <w:rPr>
          <w:rFonts w:ascii="Sylfaen" w:hAnsi="Sylfaen" w:cstheme="minorHAnsi"/>
          <w:szCs w:val="24"/>
          <w:lang w:val="hy-AM"/>
        </w:rPr>
        <w:t xml:space="preserve">Նմանատիպ աշխատանքների գնահատման առավելագույն </w:t>
      </w:r>
      <w:r w:rsidR="004D47A8" w:rsidRPr="004D47A8">
        <w:rPr>
          <w:rFonts w:ascii="Sylfaen" w:hAnsi="Sylfaen" w:cstheme="minorHAnsi"/>
          <w:b/>
          <w:szCs w:val="24"/>
          <w:lang w:val="hy-AM"/>
        </w:rPr>
        <w:t>40</w:t>
      </w:r>
      <w:r w:rsidR="00AA75E0" w:rsidRPr="00AA75E0">
        <w:rPr>
          <w:rFonts w:ascii="Sylfaen" w:hAnsi="Sylfaen" w:cstheme="minorHAnsi"/>
          <w:szCs w:val="24"/>
          <w:lang w:val="hy-AM"/>
        </w:rPr>
        <w:t xml:space="preserve"> </w:t>
      </w:r>
      <w:r w:rsidR="004D47A8" w:rsidRPr="004D47A8">
        <w:rPr>
          <w:rFonts w:ascii="Sylfaen" w:hAnsi="Sylfaen" w:cstheme="minorHAnsi"/>
          <w:szCs w:val="24"/>
          <w:lang w:val="hy-AM"/>
        </w:rPr>
        <w:t>միավորը ըստ նմանատիպ շինարարական աշխատանքների տրոհվում է հետևյալ ձևով.</w:t>
      </w:r>
    </w:p>
    <w:p w:rsidR="004D47A8" w:rsidRPr="004D47A8" w:rsidRDefault="004D47A8" w:rsidP="00513848">
      <w:pPr>
        <w:ind w:firstLine="720"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ա/</w:t>
      </w:r>
      <w:r w:rsidR="00AA75E0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szCs w:val="24"/>
          <w:lang w:val="hy-AM"/>
        </w:rPr>
        <w:t>Ջրագծեր -</w:t>
      </w:r>
      <w:r w:rsidR="00AA75E0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b/>
          <w:szCs w:val="24"/>
          <w:lang w:val="hy-AM"/>
        </w:rPr>
        <w:t>9</w:t>
      </w:r>
      <w:r w:rsidRPr="004D47A8">
        <w:rPr>
          <w:rFonts w:ascii="Sylfaen" w:hAnsi="Sylfaen" w:cstheme="minorHAnsi"/>
          <w:szCs w:val="24"/>
          <w:lang w:val="hy-AM"/>
        </w:rPr>
        <w:t>,</w:t>
      </w:r>
    </w:p>
    <w:p w:rsidR="004D47A8" w:rsidRPr="004D47A8" w:rsidRDefault="004D47A8" w:rsidP="00513848">
      <w:pPr>
        <w:ind w:firstLine="720"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 xml:space="preserve">բ/ </w:t>
      </w:r>
      <w:r w:rsidR="00AA75E0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szCs w:val="24"/>
          <w:lang w:val="hy-AM"/>
        </w:rPr>
        <w:t>Կոյուղագծեր և հեղեղատարներ -</w:t>
      </w:r>
      <w:r w:rsidR="00AA75E0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b/>
          <w:szCs w:val="24"/>
          <w:lang w:val="hy-AM"/>
        </w:rPr>
        <w:t>8</w:t>
      </w:r>
      <w:r w:rsidRPr="004D47A8">
        <w:rPr>
          <w:rFonts w:ascii="Sylfaen" w:hAnsi="Sylfaen" w:cstheme="minorHAnsi"/>
          <w:szCs w:val="24"/>
          <w:lang w:val="hy-AM"/>
        </w:rPr>
        <w:t>,</w:t>
      </w:r>
    </w:p>
    <w:p w:rsidR="004D47A8" w:rsidRPr="004D47A8" w:rsidRDefault="004D47A8" w:rsidP="00513848">
      <w:pPr>
        <w:ind w:firstLine="720"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գ/</w:t>
      </w:r>
      <w:r w:rsidR="00AA75E0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szCs w:val="24"/>
          <w:lang w:val="hy-AM"/>
        </w:rPr>
        <w:t xml:space="preserve"> ՕԿՋ-ներ -</w:t>
      </w:r>
      <w:r w:rsidR="00AA75E0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b/>
          <w:szCs w:val="24"/>
          <w:lang w:val="hy-AM"/>
        </w:rPr>
        <w:t>9</w:t>
      </w:r>
      <w:r w:rsidRPr="004D47A8">
        <w:rPr>
          <w:rFonts w:ascii="Sylfaen" w:hAnsi="Sylfaen" w:cstheme="minorHAnsi"/>
          <w:szCs w:val="24"/>
          <w:lang w:val="hy-AM"/>
        </w:rPr>
        <w:t>,</w:t>
      </w:r>
    </w:p>
    <w:p w:rsidR="004D47A8" w:rsidRPr="004D47A8" w:rsidRDefault="004D47A8" w:rsidP="00513848">
      <w:pPr>
        <w:ind w:firstLine="720"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դ/</w:t>
      </w:r>
      <w:r w:rsidR="00AA75E0">
        <w:rPr>
          <w:rFonts w:ascii="Sylfaen" w:hAnsi="Sylfaen" w:cstheme="minorHAnsi"/>
          <w:szCs w:val="24"/>
          <w:lang w:val="hy-AM"/>
        </w:rPr>
        <w:t xml:space="preserve"> </w:t>
      </w:r>
      <w:r w:rsidR="003B5081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szCs w:val="24"/>
          <w:lang w:val="hy-AM"/>
        </w:rPr>
        <w:t>Գլխամասային կառույցներ (գետային ջրընդունիչներ, կապտաժներ, դրենաժային համակարգեր, խորքային հորեր, պոմպակայաններ, քլորակայաններ) -</w:t>
      </w:r>
      <w:r w:rsidR="00AA75E0" w:rsidRPr="00AA75E0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b/>
          <w:szCs w:val="24"/>
          <w:lang w:val="hy-AM"/>
        </w:rPr>
        <w:t>9</w:t>
      </w:r>
      <w:r w:rsidRPr="004D47A8">
        <w:rPr>
          <w:rFonts w:ascii="Sylfaen" w:hAnsi="Sylfaen" w:cstheme="minorHAnsi"/>
          <w:szCs w:val="24"/>
          <w:lang w:val="hy-AM"/>
        </w:rPr>
        <w:t>,</w:t>
      </w:r>
    </w:p>
    <w:p w:rsidR="004D47A8" w:rsidRPr="004D47A8" w:rsidRDefault="004D47A8" w:rsidP="00513848">
      <w:pPr>
        <w:ind w:firstLine="720"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ե/</w:t>
      </w:r>
      <w:r w:rsidR="003B5081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szCs w:val="24"/>
          <w:lang w:val="hy-AM"/>
        </w:rPr>
        <w:t xml:space="preserve"> Անհատական ջրաչափերի տեղադրման աշխատանքներ -</w:t>
      </w:r>
      <w:r w:rsidR="00AA75E0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b/>
          <w:szCs w:val="24"/>
          <w:lang w:val="hy-AM"/>
        </w:rPr>
        <w:t>5</w:t>
      </w:r>
      <w:r w:rsidRPr="004D47A8">
        <w:rPr>
          <w:rFonts w:ascii="Sylfaen" w:hAnsi="Sylfaen" w:cstheme="minorHAnsi"/>
          <w:szCs w:val="24"/>
          <w:lang w:val="hy-AM"/>
        </w:rPr>
        <w:t>։</w:t>
      </w:r>
    </w:p>
    <w:p w:rsidR="004D47A8" w:rsidRPr="004D47A8" w:rsidRDefault="004D47A8" w:rsidP="004D47A8">
      <w:pPr>
        <w:rPr>
          <w:rFonts w:ascii="Sylfaen" w:hAnsi="Sylfaen" w:cstheme="minorHAnsi"/>
          <w:sz w:val="22"/>
          <w:szCs w:val="22"/>
          <w:lang w:val="hy-AM"/>
        </w:rPr>
      </w:pPr>
    </w:p>
    <w:p w:rsidR="004D47A8" w:rsidRPr="004D47A8" w:rsidRDefault="004D47A8" w:rsidP="00DC3C5C">
      <w:pPr>
        <w:ind w:left="-270" w:firstLine="270"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b/>
          <w:szCs w:val="24"/>
          <w:lang w:val="hy-AM"/>
        </w:rPr>
        <w:t>Վերը նշված աշխատանքների համար որակավորված ընկությունների ցուցակում կներառվեն կապալառուների առավելագույն բարձր միավորներ հավաքած 10 ընկերություն</w:t>
      </w:r>
      <w:r w:rsidRPr="004D47A8">
        <w:rPr>
          <w:rFonts w:ascii="Sylfaen" w:hAnsi="Sylfaen" w:cstheme="minorHAnsi"/>
          <w:szCs w:val="24"/>
          <w:lang w:val="hy-AM"/>
        </w:rPr>
        <w:t>:</w:t>
      </w:r>
    </w:p>
    <w:p w:rsidR="004D47A8" w:rsidRPr="004D47A8" w:rsidRDefault="004D47A8" w:rsidP="00DC3C5C">
      <w:pPr>
        <w:ind w:left="-270" w:firstLine="270"/>
        <w:rPr>
          <w:rFonts w:ascii="Sylfaen" w:hAnsi="Sylfaen" w:cstheme="minorHAnsi"/>
          <w:b/>
          <w:szCs w:val="24"/>
          <w:lang w:val="hy-AM"/>
        </w:rPr>
      </w:pPr>
      <w:r w:rsidRPr="004D47A8">
        <w:rPr>
          <w:rFonts w:ascii="Sylfaen" w:hAnsi="Sylfaen" w:cstheme="minorHAnsi"/>
          <w:b/>
          <w:szCs w:val="24"/>
          <w:lang w:val="hy-AM"/>
        </w:rPr>
        <w:t xml:space="preserve">«Վեոլիա Ջուր» ՓԲԸ-ն իրեն իրավունք է վերապահում </w:t>
      </w:r>
      <w:r w:rsidR="00DC3C5C">
        <w:rPr>
          <w:rFonts w:ascii="Sylfaen" w:hAnsi="Sylfaen" w:cstheme="minorHAnsi"/>
          <w:b/>
          <w:szCs w:val="24"/>
          <w:lang w:val="hy-AM"/>
        </w:rPr>
        <w:t>«</w:t>
      </w:r>
      <w:r w:rsidRPr="004D47A8">
        <w:rPr>
          <w:rFonts w:ascii="Sylfaen" w:hAnsi="Sylfaen" w:cstheme="minorHAnsi"/>
          <w:b/>
          <w:szCs w:val="24"/>
          <w:lang w:val="hy-AM"/>
        </w:rPr>
        <w:t>կարճ ցուցակից</w:t>
      </w:r>
      <w:r w:rsidR="00DC3C5C">
        <w:rPr>
          <w:rFonts w:ascii="Sylfaen" w:hAnsi="Sylfaen" w:cstheme="minorHAnsi"/>
          <w:b/>
          <w:szCs w:val="24"/>
          <w:lang w:val="hy-AM"/>
        </w:rPr>
        <w:t>»</w:t>
      </w:r>
      <w:r w:rsidRPr="004D47A8">
        <w:rPr>
          <w:rFonts w:ascii="Sylfaen" w:hAnsi="Sylfaen" w:cstheme="minorHAnsi"/>
          <w:b/>
          <w:szCs w:val="24"/>
          <w:lang w:val="hy-AM"/>
        </w:rPr>
        <w:t xml:space="preserve"> հանել</w:t>
      </w:r>
      <w:r w:rsidRPr="004D47A8" w:rsidDel="002C5C5B">
        <w:rPr>
          <w:rFonts w:ascii="Sylfaen" w:hAnsi="Sylfaen" w:cstheme="minorHAnsi"/>
          <w:b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b/>
          <w:szCs w:val="24"/>
          <w:lang w:val="hy-AM"/>
        </w:rPr>
        <w:t>այն կապալառու կազմակերպություններին, որոնք պարբերաբար խուսափում են և չեն մասնակցում  Ընկերության կողմից ՊԿԱԾ-ի շրջանակներում հրավիրված մրցույթներին։</w:t>
      </w:r>
    </w:p>
    <w:p w:rsidR="004D47A8" w:rsidRPr="004D47A8" w:rsidRDefault="004D47A8" w:rsidP="004D47A8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:rsidR="004D47A8" w:rsidRPr="004D47A8" w:rsidRDefault="004D47A8" w:rsidP="00E025FA">
      <w:pPr>
        <w:ind w:firstLine="720"/>
        <w:rPr>
          <w:rFonts w:ascii="Sylfaen" w:hAnsi="Sylfaen" w:cstheme="minorHAnsi"/>
          <w:b/>
          <w:sz w:val="22"/>
          <w:szCs w:val="22"/>
          <w:lang w:val="hy-AM"/>
        </w:rPr>
      </w:pPr>
      <w:r w:rsidRPr="004D47A8">
        <w:rPr>
          <w:rFonts w:ascii="Sylfaen" w:eastAsia="Calibri" w:hAnsi="Sylfaen"/>
          <w:b/>
          <w:bCs/>
          <w:szCs w:val="24"/>
          <w:lang w:val="hy-AM"/>
        </w:rPr>
        <w:t>Հայտատուների կողմից ներկայացվելիք փաստաթղթերի ցանկը՝</w:t>
      </w:r>
    </w:p>
    <w:p w:rsidR="004D47A8" w:rsidRPr="004D47A8" w:rsidRDefault="004D47A8" w:rsidP="004D47A8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:rsidR="004D47A8" w:rsidRPr="004D47A8" w:rsidRDefault="004D47A8" w:rsidP="004D47A8">
      <w:pPr>
        <w:numPr>
          <w:ilvl w:val="0"/>
          <w:numId w:val="2"/>
        </w:numPr>
        <w:ind w:left="0" w:hanging="270"/>
        <w:contextualSpacing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Դիմում սույն մրցույթին մասնակցելու շահագրգռվածության և դրա պահանջներին բավարարելու վերաբերյալ։</w:t>
      </w:r>
    </w:p>
    <w:p w:rsidR="004D47A8" w:rsidRPr="004D47A8" w:rsidRDefault="004D47A8" w:rsidP="004D47A8">
      <w:pPr>
        <w:numPr>
          <w:ilvl w:val="0"/>
          <w:numId w:val="2"/>
        </w:numPr>
        <w:ind w:left="-270" w:firstLine="0"/>
        <w:contextualSpacing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Պետական ռեգիստրի վկայական, կանոնադրություն, բաժնետերերի մասին տեղեկատվություն:</w:t>
      </w:r>
    </w:p>
    <w:p w:rsidR="004D47A8" w:rsidRPr="004D47A8" w:rsidRDefault="004D47A8" w:rsidP="004D47A8">
      <w:pPr>
        <w:numPr>
          <w:ilvl w:val="0"/>
          <w:numId w:val="2"/>
        </w:numPr>
        <w:ind w:left="-270" w:firstLine="0"/>
        <w:contextualSpacing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Վերջին երեք տարիների հաշվապահական հաշվեկշիռները՝ վավերացված հարկային մարմինների կողմից:</w:t>
      </w:r>
    </w:p>
    <w:p w:rsidR="004D47A8" w:rsidRPr="004D47A8" w:rsidRDefault="004D47A8" w:rsidP="004D47A8">
      <w:pPr>
        <w:numPr>
          <w:ilvl w:val="0"/>
          <w:numId w:val="2"/>
        </w:numPr>
        <w:ind w:left="-270" w:firstLine="0"/>
        <w:contextualSpacing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Վերջին 3 տարիների համար աուդիտի հաշվետվություններ (առկայության դեպքում):</w:t>
      </w:r>
    </w:p>
    <w:p w:rsidR="004D47A8" w:rsidRPr="004D47A8" w:rsidRDefault="004D47A8" w:rsidP="004D47A8">
      <w:pPr>
        <w:numPr>
          <w:ilvl w:val="0"/>
          <w:numId w:val="2"/>
        </w:numPr>
        <w:ind w:left="-270" w:firstLine="0"/>
        <w:contextualSpacing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Վերջին 3 տարիներ</w:t>
      </w:r>
      <w:r w:rsidR="007756DB">
        <w:rPr>
          <w:rFonts w:ascii="Sylfaen" w:hAnsi="Sylfaen" w:cstheme="minorHAnsi"/>
          <w:szCs w:val="24"/>
          <w:lang w:val="hy-AM"/>
        </w:rPr>
        <w:t>ին</w:t>
      </w:r>
      <w:r w:rsidRPr="004D47A8">
        <w:rPr>
          <w:rFonts w:ascii="Sylfaen" w:hAnsi="Sylfaen" w:cstheme="minorHAnsi"/>
          <w:szCs w:val="24"/>
          <w:lang w:val="hy-AM"/>
        </w:rPr>
        <w:t xml:space="preserve"> կատարված ընդհանուր շինարարական աշխատանքների ծավալները:</w:t>
      </w:r>
    </w:p>
    <w:p w:rsidR="004D47A8" w:rsidRPr="004D47A8" w:rsidRDefault="004D47A8" w:rsidP="004D47A8">
      <w:pPr>
        <w:numPr>
          <w:ilvl w:val="0"/>
          <w:numId w:val="2"/>
        </w:numPr>
        <w:ind w:left="-270" w:firstLine="0"/>
        <w:contextualSpacing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Վերջին 5 տարիներում նմանատիպ շինարարական աշխատանքների ծավալները, որոնց վերջին երեք տարվա ընդհանուր կատարված աշխատանքների արժեքը լինի ոչ պակաս, քան 600</w:t>
      </w:r>
      <w:r w:rsidR="00C00520">
        <w:rPr>
          <w:rFonts w:ascii="Sylfaen" w:hAnsi="Sylfaen" w:cstheme="minorHAnsi"/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szCs w:val="24"/>
          <w:lang w:val="hy-AM"/>
        </w:rPr>
        <w:t>մլն. ՀՀ դրամ, իսկ վերջին մեկ տարվա ընթացքում կատարված աշխատանքների արժեքը լինի ոչ պակաս, քան 200 մլն</w:t>
      </w:r>
      <w:r w:rsidRPr="004D47A8">
        <w:rPr>
          <w:szCs w:val="24"/>
          <w:lang w:val="hy-AM"/>
        </w:rPr>
        <w:t>․</w:t>
      </w:r>
      <w:r w:rsidR="00C00520">
        <w:rPr>
          <w:szCs w:val="24"/>
          <w:lang w:val="hy-AM"/>
        </w:rPr>
        <w:t xml:space="preserve"> </w:t>
      </w:r>
      <w:r w:rsidRPr="004D47A8">
        <w:rPr>
          <w:rFonts w:ascii="Sylfaen" w:hAnsi="Sylfaen" w:cstheme="minorHAnsi"/>
          <w:szCs w:val="24"/>
          <w:lang w:val="hy-AM"/>
        </w:rPr>
        <w:t>ՀՀ դրամ</w:t>
      </w:r>
      <w:r w:rsidR="007E016E">
        <w:rPr>
          <w:rFonts w:ascii="Sylfaen" w:hAnsi="Sylfaen" w:cstheme="minorHAnsi"/>
          <w:szCs w:val="24"/>
          <w:lang w:val="hy-AM"/>
        </w:rPr>
        <w:t xml:space="preserve"> </w:t>
      </w:r>
      <w:r w:rsidR="007E016E" w:rsidRPr="007E016E">
        <w:rPr>
          <w:rFonts w:ascii="Sylfaen" w:hAnsi="Sylfaen" w:cstheme="minorHAnsi"/>
          <w:szCs w:val="24"/>
          <w:lang w:val="hy-AM"/>
        </w:rPr>
        <w:t>(</w:t>
      </w:r>
      <w:r w:rsidRPr="004D47A8">
        <w:rPr>
          <w:rFonts w:ascii="Sylfaen" w:hAnsi="Sylfaen" w:cstheme="minorHAnsi"/>
          <w:szCs w:val="24"/>
          <w:lang w:val="hy-AM"/>
        </w:rPr>
        <w:t>կից պետք է ներկայացվեն համապատասխան պայմանագրերը, օբյեկտը շահագործման հանձնման կամ վերջնական կատարողական ակտերը</w:t>
      </w:r>
      <w:r w:rsidR="007E016E" w:rsidRPr="007E016E">
        <w:rPr>
          <w:rFonts w:ascii="Sylfaen" w:hAnsi="Sylfaen" w:cstheme="minorHAnsi"/>
          <w:szCs w:val="24"/>
          <w:lang w:val="hy-AM"/>
        </w:rPr>
        <w:t>)</w:t>
      </w:r>
      <w:r w:rsidRPr="004D47A8">
        <w:rPr>
          <w:rFonts w:ascii="Sylfaen" w:hAnsi="Sylfaen" w:cstheme="minorHAnsi"/>
          <w:szCs w:val="24"/>
          <w:lang w:val="hy-AM"/>
        </w:rPr>
        <w:t>:</w:t>
      </w:r>
    </w:p>
    <w:p w:rsidR="004D47A8" w:rsidRPr="004D47A8" w:rsidRDefault="004D47A8" w:rsidP="004D47A8">
      <w:pPr>
        <w:numPr>
          <w:ilvl w:val="0"/>
          <w:numId w:val="2"/>
        </w:numPr>
        <w:ind w:left="-270" w:firstLine="0"/>
        <w:contextualSpacing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>Մեքենա-մեխանիզմների և սարքավորումների առկայություն՝ վավերացված համապատասխան փաստաթղթերով՝ ավտոինքնաթափեր, ավտոկռունկ, էքսկավատոր, զոդման սարքեր, պոլիէթիլենային խողովակների զոդման սարք, թռթռիչ, տոփանիչ, գլդոն /ձեռքի և մեխանիզացված/:</w:t>
      </w:r>
    </w:p>
    <w:p w:rsidR="004D47A8" w:rsidRPr="004D47A8" w:rsidRDefault="004D47A8" w:rsidP="004D47A8">
      <w:pPr>
        <w:numPr>
          <w:ilvl w:val="0"/>
          <w:numId w:val="2"/>
        </w:numPr>
        <w:ind w:left="-270" w:firstLine="0"/>
        <w:contextualSpacing/>
        <w:rPr>
          <w:rFonts w:ascii="Sylfaen" w:hAnsi="Sylfaen" w:cstheme="minorHAnsi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lastRenderedPageBreak/>
        <w:t xml:space="preserve">Հիմնական աշխատակազմ՝ </w:t>
      </w:r>
      <w:r w:rsidRPr="004D47A8">
        <w:rPr>
          <w:rFonts w:ascii="Sylfaen" w:hAnsi="Sylfaen" w:cstheme="minorHAnsi"/>
          <w:b/>
          <w:szCs w:val="24"/>
          <w:lang w:val="hy-AM"/>
        </w:rPr>
        <w:t>գլխ. Ճարտարագետ</w:t>
      </w:r>
      <w:r w:rsidR="00C00520">
        <w:rPr>
          <w:rFonts w:ascii="Sylfaen" w:hAnsi="Sylfaen" w:cstheme="minorHAnsi"/>
          <w:szCs w:val="24"/>
          <w:lang w:val="hy-AM"/>
        </w:rPr>
        <w:t xml:space="preserve"> -</w:t>
      </w:r>
      <w:r w:rsidRPr="004D47A8">
        <w:rPr>
          <w:rFonts w:ascii="Sylfaen" w:hAnsi="Sylfaen" w:cstheme="minorHAnsi"/>
          <w:szCs w:val="24"/>
          <w:lang w:val="hy-AM"/>
        </w:rPr>
        <w:t xml:space="preserve"> տվյալ մասնագիտությամբ աշխատելու փորձառությունը 5 տարի,  </w:t>
      </w:r>
      <w:r w:rsidRPr="004D47A8">
        <w:rPr>
          <w:rFonts w:ascii="Sylfaen" w:hAnsi="Sylfaen" w:cstheme="minorHAnsi"/>
          <w:b/>
          <w:szCs w:val="24"/>
          <w:lang w:val="hy-AM"/>
        </w:rPr>
        <w:t>աշղեկներ</w:t>
      </w:r>
      <w:r w:rsidRPr="004D47A8">
        <w:rPr>
          <w:rFonts w:ascii="Sylfaen" w:hAnsi="Sylfaen" w:cstheme="minorHAnsi"/>
          <w:szCs w:val="24"/>
          <w:lang w:val="hy-AM"/>
        </w:rPr>
        <w:t xml:space="preserve"> (առնվազն 2 </w:t>
      </w:r>
      <w:r w:rsidR="00C00520">
        <w:rPr>
          <w:rFonts w:ascii="Sylfaen" w:hAnsi="Sylfaen" w:cstheme="minorHAnsi"/>
          <w:szCs w:val="24"/>
          <w:lang w:val="hy-AM"/>
        </w:rPr>
        <w:t>անձ</w:t>
      </w:r>
      <w:r w:rsidRPr="004D47A8">
        <w:rPr>
          <w:rFonts w:ascii="Sylfaen" w:hAnsi="Sylfaen" w:cstheme="minorHAnsi"/>
          <w:szCs w:val="24"/>
          <w:lang w:val="hy-AM"/>
        </w:rPr>
        <w:t>) - տվյալ մասնագիտությամբ աշխատելու փորձառությունը 3 տարի,</w:t>
      </w:r>
    </w:p>
    <w:p w:rsidR="004D47A8" w:rsidRPr="004D47A8" w:rsidRDefault="004D47A8" w:rsidP="004D47A8">
      <w:pPr>
        <w:ind w:left="-270"/>
        <w:rPr>
          <w:rFonts w:ascii="Sylfaen" w:hAnsi="Sylfaen" w:cstheme="minorHAnsi"/>
          <w:color w:val="0000FF"/>
          <w:szCs w:val="24"/>
          <w:lang w:val="hy-AM"/>
        </w:rPr>
      </w:pPr>
      <w:r w:rsidRPr="004D47A8">
        <w:rPr>
          <w:rFonts w:ascii="Sylfaen" w:hAnsi="Sylfaen" w:cstheme="minorHAnsi"/>
          <w:szCs w:val="24"/>
          <w:lang w:val="hy-AM"/>
        </w:rPr>
        <w:t xml:space="preserve">9. Համապատասխան շինարարական աշխատանքների լիցենզիա/թույլտվություն՝ տրված ՀՀ </w:t>
      </w:r>
      <w:r w:rsidR="00C00520">
        <w:rPr>
          <w:rFonts w:ascii="Sylfaen" w:hAnsi="Sylfaen" w:cstheme="minorHAnsi"/>
          <w:szCs w:val="24"/>
          <w:lang w:val="hy-AM"/>
        </w:rPr>
        <w:t xml:space="preserve">ԿԱ </w:t>
      </w:r>
      <w:r w:rsidRPr="004D47A8">
        <w:rPr>
          <w:rFonts w:ascii="Sylfaen" w:hAnsi="Sylfaen" w:cstheme="minorHAnsi"/>
          <w:szCs w:val="24"/>
          <w:lang w:val="hy-AM"/>
        </w:rPr>
        <w:t xml:space="preserve">Քաղաքաշինության </w:t>
      </w:r>
      <w:r w:rsidR="007E016E">
        <w:rPr>
          <w:rFonts w:ascii="Sylfaen" w:hAnsi="Sylfaen" w:cstheme="minorHAnsi"/>
          <w:szCs w:val="24"/>
          <w:lang w:val="hy-AM"/>
        </w:rPr>
        <w:t>կ</w:t>
      </w:r>
      <w:r w:rsidR="00C00520">
        <w:rPr>
          <w:rFonts w:ascii="Sylfaen" w:hAnsi="Sylfaen" w:cstheme="minorHAnsi"/>
          <w:szCs w:val="24"/>
          <w:lang w:val="hy-AM"/>
        </w:rPr>
        <w:t>ոմիտեի</w:t>
      </w:r>
      <w:r w:rsidRPr="004D47A8">
        <w:rPr>
          <w:rFonts w:ascii="Sylfaen" w:hAnsi="Sylfaen" w:cstheme="minorHAnsi"/>
          <w:szCs w:val="24"/>
          <w:lang w:val="hy-AM"/>
        </w:rPr>
        <w:t xml:space="preserve"> կողմից/: </w:t>
      </w:r>
    </w:p>
    <w:p w:rsidR="004D47A8" w:rsidRPr="004D47A8" w:rsidRDefault="004D47A8" w:rsidP="004D47A8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D47A8" w:rsidRPr="004D47A8" w:rsidRDefault="004D47A8" w:rsidP="00C00520">
      <w:pPr>
        <w:ind w:left="-270" w:firstLine="270"/>
        <w:rPr>
          <w:rFonts w:ascii="Sylfaen" w:hAnsi="Sylfaen" w:cstheme="minorHAnsi"/>
          <w:b/>
          <w:szCs w:val="24"/>
          <w:lang w:val="hy-AM"/>
        </w:rPr>
      </w:pPr>
      <w:r w:rsidRPr="004D47A8">
        <w:rPr>
          <w:rFonts w:ascii="Sylfaen" w:hAnsi="Sylfaen" w:cstheme="minorHAnsi"/>
          <w:b/>
          <w:szCs w:val="24"/>
          <w:lang w:val="hy-AM"/>
        </w:rPr>
        <w:t>Ի լրումն  վերոնշյալ պահանջված տեղեկատվության</w:t>
      </w:r>
      <w:r w:rsidR="00C00520">
        <w:rPr>
          <w:rFonts w:ascii="Sylfaen" w:hAnsi="Sylfaen" w:cstheme="minorHAnsi"/>
          <w:b/>
          <w:szCs w:val="24"/>
          <w:lang w:val="hy-AM"/>
        </w:rPr>
        <w:t>,</w:t>
      </w:r>
      <w:r w:rsidRPr="004D47A8">
        <w:rPr>
          <w:rFonts w:ascii="Sylfaen" w:hAnsi="Sylfaen" w:cstheme="minorHAnsi"/>
          <w:b/>
          <w:szCs w:val="24"/>
          <w:lang w:val="hy-AM"/>
        </w:rPr>
        <w:t xml:space="preserve">  հետաքրքրության հայտ ներկայացնող կազմակերպությունները պարտավոր են հայերեն և անգլերեն լեզուներով լրացնել Պատվիրատուի կողմից մշակված ձևաչափին համապատասխան տեղեկատվություն և ներառել ներկայացվող փաթեթում՝ ստորագրված և կնքված տարբերակով: Նշված ձևաչափերը մասնակիցները կարող են ներբեռնել «Վեոլիա Ջուր» ընկերության պաշտոնական վեբ կայքից՝ </w:t>
      </w:r>
    </w:p>
    <w:p w:rsidR="004D47A8" w:rsidRPr="004D47A8" w:rsidRDefault="00EF6203" w:rsidP="004D47A8">
      <w:pPr>
        <w:ind w:left="-270"/>
        <w:rPr>
          <w:rFonts w:ascii="Sylfaen" w:hAnsi="Sylfaen" w:cstheme="minorHAnsi"/>
          <w:b/>
          <w:szCs w:val="24"/>
          <w:lang w:val="hy-AM"/>
        </w:rPr>
      </w:pPr>
      <w:hyperlink r:id="rId10" w:history="1">
        <w:r w:rsidR="004D47A8" w:rsidRPr="004D47A8">
          <w:rPr>
            <w:color w:val="0000FF" w:themeColor="hyperlink"/>
            <w:u w:val="single"/>
            <w:lang w:val="hy-AM"/>
          </w:rPr>
          <w:t>https://www.veolia.am/hy/media/gnowmner</w:t>
        </w:r>
      </w:hyperlink>
    </w:p>
    <w:p w:rsidR="004D47A8" w:rsidRPr="004D47A8" w:rsidRDefault="004D47A8" w:rsidP="004D47A8">
      <w:pPr>
        <w:ind w:left="-270"/>
        <w:rPr>
          <w:rFonts w:ascii="Sylfaen" w:hAnsi="Sylfaen" w:cstheme="minorHAnsi"/>
          <w:b/>
          <w:szCs w:val="24"/>
          <w:lang w:val="hy-AM"/>
        </w:rPr>
      </w:pPr>
    </w:p>
    <w:p w:rsidR="00FD0845" w:rsidRPr="00693567" w:rsidRDefault="00FD0845" w:rsidP="00FD0845">
      <w:pPr>
        <w:ind w:left="-270" w:firstLine="270"/>
        <w:rPr>
          <w:rFonts w:ascii="Sylfaen" w:hAnsi="Sylfaen" w:cstheme="minorHAnsi"/>
          <w:szCs w:val="24"/>
          <w:lang w:val="hy-AM"/>
        </w:rPr>
      </w:pPr>
      <w:r w:rsidRPr="00693567">
        <w:rPr>
          <w:rFonts w:ascii="Sylfaen" w:hAnsi="Sylfaen" w:cstheme="minorHAnsi"/>
          <w:szCs w:val="24"/>
          <w:lang w:val="hy-AM"/>
        </w:rPr>
        <w:t>Հ</w:t>
      </w:r>
      <w:r w:rsidR="004D47A8" w:rsidRPr="004D47A8">
        <w:rPr>
          <w:rFonts w:ascii="Sylfaen" w:hAnsi="Sylfaen" w:cstheme="minorHAnsi"/>
          <w:szCs w:val="24"/>
          <w:lang w:val="hy-AM"/>
        </w:rPr>
        <w:t>այտատուները կարող են լրացուցիչ տեղեկություններ ստանալ «Վեոլիա ջուր» ՓԲԸ-ից աշխատանքային օրերին ժամը 09.00-13.00 և 14.00-18.00</w:t>
      </w:r>
      <w:r w:rsidRPr="00693567">
        <w:rPr>
          <w:rFonts w:ascii="Sylfaen" w:hAnsi="Sylfaen" w:cstheme="minorHAnsi"/>
          <w:szCs w:val="24"/>
          <w:lang w:val="hy-AM"/>
        </w:rPr>
        <w:t>:</w:t>
      </w:r>
      <w:r w:rsidRPr="00693567">
        <w:rPr>
          <w:rFonts w:ascii="Sylfaen" w:eastAsia="Calibri" w:hAnsi="Sylfaen" w:cs="Arial"/>
          <w:bCs/>
          <w:szCs w:val="24"/>
          <w:lang w:val="hy-AM"/>
        </w:rPr>
        <w:t xml:space="preserve"> Հայտերը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պետք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է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ներկայացվեն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ստորագրված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, </w:t>
      </w:r>
      <w:r w:rsidRPr="00693567">
        <w:rPr>
          <w:rFonts w:ascii="Sylfaen" w:eastAsia="Calibri" w:hAnsi="Sylfaen" w:cs="Arial"/>
          <w:bCs/>
          <w:szCs w:val="24"/>
          <w:lang w:val="hy-AM"/>
        </w:rPr>
        <w:t>կնքված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և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փակ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ծրարով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ոչ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ուշ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, </w:t>
      </w:r>
      <w:r w:rsidRPr="00693567">
        <w:rPr>
          <w:rFonts w:ascii="Sylfaen" w:eastAsia="Calibri" w:hAnsi="Sylfaen" w:cs="Arial"/>
          <w:bCs/>
          <w:szCs w:val="24"/>
          <w:lang w:val="hy-AM"/>
        </w:rPr>
        <w:t>քան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2020</w:t>
      </w:r>
      <w:r w:rsidRPr="00693567">
        <w:rPr>
          <w:rFonts w:ascii="Sylfaen" w:eastAsia="Calibri" w:hAnsi="Sylfaen" w:cs="Arial"/>
          <w:bCs/>
          <w:szCs w:val="24"/>
          <w:lang w:val="hy-AM"/>
        </w:rPr>
        <w:t>թ</w:t>
      </w:r>
      <w:r w:rsidRPr="00693567">
        <w:rPr>
          <w:rFonts w:ascii="Sylfaen" w:eastAsia="Calibri" w:hAnsi="Sylfaen"/>
          <w:bCs/>
          <w:szCs w:val="24"/>
          <w:lang w:val="hy-AM"/>
        </w:rPr>
        <w:t>. հունվարի 27-</w:t>
      </w:r>
      <w:r w:rsidRPr="00693567">
        <w:rPr>
          <w:rFonts w:ascii="Sylfaen" w:eastAsia="Calibri" w:hAnsi="Sylfaen" w:cs="Arial"/>
          <w:bCs/>
          <w:szCs w:val="24"/>
          <w:lang w:val="hy-AM"/>
        </w:rPr>
        <w:t>ը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, </w:t>
      </w:r>
      <w:r w:rsidRPr="00693567">
        <w:rPr>
          <w:rFonts w:ascii="Sylfaen" w:eastAsia="Calibri" w:hAnsi="Sylfaen" w:cs="Arial"/>
          <w:bCs/>
          <w:szCs w:val="24"/>
          <w:lang w:val="hy-AM"/>
        </w:rPr>
        <w:t>ժամը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11:00-</w:t>
      </w:r>
      <w:r w:rsidRPr="00693567">
        <w:rPr>
          <w:rFonts w:ascii="Sylfaen" w:eastAsia="Calibri" w:hAnsi="Sylfaen" w:cs="Arial"/>
          <w:bCs/>
          <w:szCs w:val="24"/>
          <w:lang w:val="hy-AM"/>
        </w:rPr>
        <w:t>ն:</w:t>
      </w:r>
    </w:p>
    <w:p w:rsidR="00FD0845" w:rsidRPr="004D47A8" w:rsidRDefault="00FD0845" w:rsidP="00FD0845">
      <w:pPr>
        <w:ind w:left="-270" w:firstLine="270"/>
        <w:rPr>
          <w:rFonts w:ascii="Sylfaen" w:hAnsi="Sylfaen" w:cstheme="minorHAnsi"/>
          <w:sz w:val="22"/>
          <w:szCs w:val="22"/>
          <w:lang w:val="hy-AM"/>
        </w:rPr>
      </w:pPr>
      <w:r w:rsidRPr="00693567">
        <w:rPr>
          <w:rFonts w:ascii="Sylfaen" w:hAnsi="Sylfaen"/>
          <w:bCs/>
          <w:szCs w:val="24"/>
          <w:lang w:val="hy-AM"/>
        </w:rPr>
        <w:t xml:space="preserve">Հասցե՝ 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ՀՀ, 0014, </w:t>
      </w:r>
      <w:r w:rsidRPr="00693567">
        <w:rPr>
          <w:rFonts w:ascii="Sylfaen" w:eastAsia="Calibri" w:hAnsi="Sylfaen" w:cs="Arial"/>
          <w:bCs/>
          <w:szCs w:val="24"/>
          <w:lang w:val="hy-AM"/>
        </w:rPr>
        <w:t>Երևան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, </w:t>
      </w:r>
      <w:r w:rsidRPr="00693567">
        <w:rPr>
          <w:rFonts w:ascii="Sylfaen" w:eastAsia="Calibri" w:hAnsi="Sylfaen" w:cs="Arial"/>
          <w:bCs/>
          <w:szCs w:val="24"/>
          <w:lang w:val="hy-AM"/>
        </w:rPr>
        <w:t>Ադոնց</w:t>
      </w:r>
      <w:r w:rsidRPr="00693567">
        <w:rPr>
          <w:rFonts w:ascii="Sylfaen" w:eastAsia="Calibri" w:hAnsi="Sylfaen"/>
          <w:bCs/>
          <w:szCs w:val="24"/>
          <w:lang w:val="hy-AM"/>
        </w:rPr>
        <w:t>ի 6/1, 9-</w:t>
      </w:r>
      <w:r w:rsidRPr="00693567">
        <w:rPr>
          <w:rFonts w:ascii="Sylfaen" w:eastAsia="Calibri" w:hAnsi="Sylfaen" w:cs="Arial"/>
          <w:bCs/>
          <w:szCs w:val="24"/>
          <w:lang w:val="hy-AM"/>
        </w:rPr>
        <w:t>րդ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հարկ</w:t>
      </w:r>
      <w:r w:rsidRPr="00693567">
        <w:rPr>
          <w:rFonts w:ascii="Sylfaen" w:eastAsia="Calibri" w:hAnsi="Sylfaen"/>
          <w:bCs/>
          <w:szCs w:val="24"/>
          <w:lang w:val="hy-AM"/>
        </w:rPr>
        <w:t>, «</w:t>
      </w:r>
      <w:r w:rsidRPr="00693567">
        <w:rPr>
          <w:rFonts w:ascii="Sylfaen" w:eastAsia="Calibri" w:hAnsi="Sylfaen" w:cs="Arial"/>
          <w:bCs/>
          <w:szCs w:val="24"/>
          <w:lang w:val="hy-AM"/>
        </w:rPr>
        <w:t>Վեոլիա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Ջուր</w:t>
      </w:r>
      <w:r w:rsidRPr="00693567">
        <w:rPr>
          <w:rFonts w:ascii="Sylfaen" w:eastAsia="Calibri" w:hAnsi="Sylfaen" w:cs="Arial Armenian"/>
          <w:bCs/>
          <w:szCs w:val="24"/>
          <w:lang w:val="hy-AM"/>
        </w:rPr>
        <w:t>»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ՓԲԸ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, </w:t>
      </w:r>
      <w:r w:rsidRPr="00693567">
        <w:rPr>
          <w:rFonts w:ascii="Sylfaen" w:eastAsia="Calibri" w:hAnsi="Sylfaen" w:cs="Arial"/>
          <w:bCs/>
          <w:szCs w:val="24"/>
          <w:lang w:val="hy-AM"/>
        </w:rPr>
        <w:t>Գնումների</w:t>
      </w:r>
      <w:r w:rsidRPr="00693567">
        <w:rPr>
          <w:rFonts w:ascii="Sylfaen" w:eastAsia="Calibri" w:hAnsi="Sylfaen"/>
          <w:bCs/>
          <w:szCs w:val="24"/>
          <w:lang w:val="hy-AM"/>
        </w:rPr>
        <w:t xml:space="preserve"> </w:t>
      </w:r>
      <w:r w:rsidRPr="00693567">
        <w:rPr>
          <w:rFonts w:ascii="Sylfaen" w:eastAsia="Calibri" w:hAnsi="Sylfaen" w:cs="Arial"/>
          <w:bCs/>
          <w:szCs w:val="24"/>
          <w:lang w:val="hy-AM"/>
        </w:rPr>
        <w:t>վարչություն:</w:t>
      </w:r>
      <w:r w:rsidRPr="00693567">
        <w:rPr>
          <w:rFonts w:ascii="Sylfaen" w:hAnsi="Sylfaen" w:cstheme="minorHAnsi"/>
          <w:szCs w:val="24"/>
          <w:lang w:val="hy-AM"/>
        </w:rPr>
        <w:t xml:space="preserve"> Հ</w:t>
      </w:r>
      <w:r w:rsidRPr="004D47A8">
        <w:rPr>
          <w:rFonts w:ascii="Sylfaen" w:hAnsi="Sylfaen" w:cstheme="minorHAnsi"/>
          <w:szCs w:val="24"/>
          <w:lang w:val="hy-AM"/>
        </w:rPr>
        <w:t>եռ</w:t>
      </w:r>
      <w:r w:rsidR="00693567" w:rsidRPr="00693567">
        <w:rPr>
          <w:rFonts w:ascii="Sylfaen" w:hAnsi="Sylfaen" w:cstheme="minorHAnsi"/>
          <w:szCs w:val="24"/>
          <w:lang w:val="hy-AM"/>
        </w:rPr>
        <w:t>.՝</w:t>
      </w:r>
      <w:r w:rsidRPr="00693567">
        <w:rPr>
          <w:rFonts w:ascii="Sylfaen" w:hAnsi="Sylfaen" w:cstheme="minorHAnsi"/>
          <w:szCs w:val="24"/>
          <w:lang w:val="hy-AM"/>
        </w:rPr>
        <w:t xml:space="preserve"> + 374 </w:t>
      </w:r>
      <w:r w:rsidRPr="004D47A8">
        <w:rPr>
          <w:rFonts w:ascii="Sylfaen" w:hAnsi="Sylfaen" w:cstheme="minorHAnsi"/>
          <w:szCs w:val="24"/>
          <w:lang w:val="hy-AM"/>
        </w:rPr>
        <w:t>(91) 28-23-32</w:t>
      </w:r>
      <w:r w:rsidRPr="00693567">
        <w:rPr>
          <w:rFonts w:ascii="Sylfaen" w:hAnsi="Sylfaen" w:cstheme="minorHAnsi"/>
          <w:szCs w:val="24"/>
          <w:lang w:val="hy-AM"/>
        </w:rPr>
        <w:t>, է</w:t>
      </w:r>
      <w:r w:rsidRPr="004D47A8">
        <w:rPr>
          <w:rFonts w:ascii="Sylfaen" w:hAnsi="Sylfaen" w:cstheme="minorHAnsi"/>
          <w:szCs w:val="24"/>
          <w:lang w:val="hy-AM"/>
        </w:rPr>
        <w:t>լ-</w:t>
      </w:r>
      <w:r w:rsidRPr="004D47A8">
        <w:rPr>
          <w:rFonts w:ascii="Sylfaen" w:hAnsi="Sylfaen" w:cstheme="minorHAnsi"/>
          <w:sz w:val="22"/>
          <w:szCs w:val="22"/>
          <w:lang w:val="hy-AM"/>
        </w:rPr>
        <w:t>փոստ`</w:t>
      </w:r>
      <w:hyperlink r:id="rId11" w:history="1">
        <w:r w:rsidRPr="00FD0845">
          <w:rPr>
            <w:rFonts w:ascii="Sylfaen" w:eastAsia="Calibri" w:hAnsi="Sylfaen"/>
            <w:bCs/>
            <w:szCs w:val="24"/>
            <w:lang w:val="hy-AM"/>
          </w:rPr>
          <w:t>anna.trdatyan@veolia.com</w:t>
        </w:r>
      </w:hyperlink>
      <w:r>
        <w:rPr>
          <w:rFonts w:ascii="Sylfaen" w:eastAsia="Calibri" w:hAnsi="Sylfaen"/>
          <w:bCs/>
          <w:szCs w:val="24"/>
          <w:lang w:val="hy-AM"/>
        </w:rPr>
        <w:t>:</w:t>
      </w:r>
    </w:p>
    <w:p w:rsidR="00FD0845" w:rsidRDefault="00FD0845" w:rsidP="00FD0845">
      <w:pPr>
        <w:rPr>
          <w:rFonts w:ascii="Sylfaen" w:eastAsia="Calibri" w:hAnsi="Sylfaen" w:cs="Arial"/>
          <w:bCs/>
          <w:szCs w:val="24"/>
          <w:lang w:val="hy-AM"/>
        </w:rPr>
      </w:pPr>
    </w:p>
    <w:p w:rsidR="00507974" w:rsidRDefault="00507974" w:rsidP="00A76A54">
      <w:pPr>
        <w:ind w:firstLine="720"/>
        <w:rPr>
          <w:rFonts w:ascii="Sylfaen" w:eastAsia="Calibri" w:hAnsi="Sylfaen"/>
          <w:bCs/>
          <w:szCs w:val="24"/>
          <w:lang w:val="hy-AM"/>
        </w:rPr>
      </w:pPr>
    </w:p>
    <w:p w:rsidR="00507974" w:rsidRDefault="00507974" w:rsidP="00A76A54">
      <w:pPr>
        <w:ind w:firstLine="720"/>
        <w:rPr>
          <w:rFonts w:ascii="Sylfaen" w:eastAsia="Calibri" w:hAnsi="Sylfaen"/>
          <w:bCs/>
          <w:szCs w:val="24"/>
          <w:lang w:val="hy-AM"/>
        </w:rPr>
      </w:pPr>
    </w:p>
    <w:sectPr w:rsidR="00507974" w:rsidSect="00902A7E">
      <w:footerReference w:type="default" r:id="rId12"/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03" w:rsidRDefault="00EF6203" w:rsidP="009469DB">
      <w:r>
        <w:separator/>
      </w:r>
    </w:p>
  </w:endnote>
  <w:endnote w:type="continuationSeparator" w:id="0">
    <w:p w:rsidR="00EF6203" w:rsidRDefault="00EF6203" w:rsidP="009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178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9DB" w:rsidRDefault="009469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2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69DB" w:rsidRDefault="00946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03" w:rsidRDefault="00EF6203" w:rsidP="009469DB">
      <w:r>
        <w:separator/>
      </w:r>
    </w:p>
  </w:footnote>
  <w:footnote w:type="continuationSeparator" w:id="0">
    <w:p w:rsidR="00EF6203" w:rsidRDefault="00EF6203" w:rsidP="0094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8E"/>
    <w:multiLevelType w:val="hybridMultilevel"/>
    <w:tmpl w:val="B32E6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03B0A"/>
    <w:multiLevelType w:val="hybridMultilevel"/>
    <w:tmpl w:val="B57CCF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78B"/>
    <w:multiLevelType w:val="hybridMultilevel"/>
    <w:tmpl w:val="B57CCF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6789"/>
    <w:multiLevelType w:val="hybridMultilevel"/>
    <w:tmpl w:val="7738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5E3E"/>
    <w:multiLevelType w:val="hybridMultilevel"/>
    <w:tmpl w:val="5E5AF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84830"/>
    <w:multiLevelType w:val="hybridMultilevel"/>
    <w:tmpl w:val="5194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D00F7"/>
    <w:multiLevelType w:val="hybridMultilevel"/>
    <w:tmpl w:val="5BF42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B3BF5"/>
    <w:multiLevelType w:val="hybridMultilevel"/>
    <w:tmpl w:val="E224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43476"/>
    <w:multiLevelType w:val="hybridMultilevel"/>
    <w:tmpl w:val="7E0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C049D7"/>
    <w:multiLevelType w:val="hybridMultilevel"/>
    <w:tmpl w:val="01C2E33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1B2F0A05"/>
    <w:multiLevelType w:val="hybridMultilevel"/>
    <w:tmpl w:val="142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3F30"/>
    <w:multiLevelType w:val="hybridMultilevel"/>
    <w:tmpl w:val="A312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721A"/>
    <w:multiLevelType w:val="hybridMultilevel"/>
    <w:tmpl w:val="2E40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F05BC2"/>
    <w:multiLevelType w:val="hybridMultilevel"/>
    <w:tmpl w:val="CE60B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F175E"/>
    <w:multiLevelType w:val="hybridMultilevel"/>
    <w:tmpl w:val="79EE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A25BE"/>
    <w:multiLevelType w:val="hybridMultilevel"/>
    <w:tmpl w:val="65E8F9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433A8"/>
    <w:multiLevelType w:val="hybridMultilevel"/>
    <w:tmpl w:val="F3269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BCB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E43271"/>
    <w:multiLevelType w:val="hybridMultilevel"/>
    <w:tmpl w:val="8B165702"/>
    <w:lvl w:ilvl="0" w:tplc="D9B0D2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C72206B"/>
    <w:multiLevelType w:val="hybridMultilevel"/>
    <w:tmpl w:val="A9CEE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D0EF9"/>
    <w:multiLevelType w:val="hybridMultilevel"/>
    <w:tmpl w:val="267846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806E04"/>
    <w:multiLevelType w:val="hybridMultilevel"/>
    <w:tmpl w:val="33C45D14"/>
    <w:lvl w:ilvl="0" w:tplc="39E0C33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03BAB"/>
    <w:multiLevelType w:val="hybridMultilevel"/>
    <w:tmpl w:val="8466AD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035280"/>
    <w:multiLevelType w:val="hybridMultilevel"/>
    <w:tmpl w:val="92425B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3A37B2"/>
    <w:multiLevelType w:val="hybridMultilevel"/>
    <w:tmpl w:val="AFA84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6">
    <w:nsid w:val="580D287F"/>
    <w:multiLevelType w:val="multilevel"/>
    <w:tmpl w:val="72161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B6624B1"/>
    <w:multiLevelType w:val="hybridMultilevel"/>
    <w:tmpl w:val="C3E01CE0"/>
    <w:lvl w:ilvl="0" w:tplc="E20EC0FA"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E6259"/>
    <w:multiLevelType w:val="hybridMultilevel"/>
    <w:tmpl w:val="7554852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A4590D"/>
    <w:multiLevelType w:val="hybridMultilevel"/>
    <w:tmpl w:val="368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C7AD9"/>
    <w:multiLevelType w:val="multilevel"/>
    <w:tmpl w:val="765A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6AC560B4"/>
    <w:multiLevelType w:val="hybridMultilevel"/>
    <w:tmpl w:val="60807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5">
    <w:nsid w:val="6D885119"/>
    <w:multiLevelType w:val="hybridMultilevel"/>
    <w:tmpl w:val="C3A65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50451"/>
    <w:multiLevelType w:val="hybridMultilevel"/>
    <w:tmpl w:val="1362E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A524D"/>
    <w:multiLevelType w:val="hybridMultilevel"/>
    <w:tmpl w:val="75C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44635"/>
    <w:multiLevelType w:val="hybridMultilevel"/>
    <w:tmpl w:val="7566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04035"/>
    <w:multiLevelType w:val="hybridMultilevel"/>
    <w:tmpl w:val="FE9C6FD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>
    <w:nsid w:val="7A125D1F"/>
    <w:multiLevelType w:val="hybridMultilevel"/>
    <w:tmpl w:val="5E5AF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C15854"/>
    <w:multiLevelType w:val="hybridMultilevel"/>
    <w:tmpl w:val="E7AEB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F76B40"/>
    <w:multiLevelType w:val="hybridMultilevel"/>
    <w:tmpl w:val="D4A6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25"/>
  </w:num>
  <w:num w:numId="4">
    <w:abstractNumId w:val="34"/>
  </w:num>
  <w:num w:numId="5">
    <w:abstractNumId w:val="17"/>
  </w:num>
  <w:num w:numId="6">
    <w:abstractNumId w:val="23"/>
  </w:num>
  <w:num w:numId="7">
    <w:abstractNumId w:val="15"/>
  </w:num>
  <w:num w:numId="8">
    <w:abstractNumId w:val="32"/>
  </w:num>
  <w:num w:numId="9">
    <w:abstractNumId w:val="36"/>
  </w:num>
  <w:num w:numId="10">
    <w:abstractNumId w:val="0"/>
  </w:num>
  <w:num w:numId="11">
    <w:abstractNumId w:val="13"/>
  </w:num>
  <w:num w:numId="12">
    <w:abstractNumId w:val="24"/>
  </w:num>
  <w:num w:numId="13">
    <w:abstractNumId w:val="39"/>
  </w:num>
  <w:num w:numId="14">
    <w:abstractNumId w:val="20"/>
  </w:num>
  <w:num w:numId="15">
    <w:abstractNumId w:val="2"/>
  </w:num>
  <w:num w:numId="16">
    <w:abstractNumId w:val="41"/>
  </w:num>
  <w:num w:numId="17">
    <w:abstractNumId w:val="35"/>
  </w:num>
  <w:num w:numId="18">
    <w:abstractNumId w:val="1"/>
  </w:num>
  <w:num w:numId="19">
    <w:abstractNumId w:val="29"/>
  </w:num>
  <w:num w:numId="20">
    <w:abstractNumId w:val="9"/>
  </w:num>
  <w:num w:numId="21">
    <w:abstractNumId w:val="19"/>
  </w:num>
  <w:num w:numId="22">
    <w:abstractNumId w:val="42"/>
  </w:num>
  <w:num w:numId="23">
    <w:abstractNumId w:val="3"/>
  </w:num>
  <w:num w:numId="24">
    <w:abstractNumId w:val="11"/>
  </w:num>
  <w:num w:numId="25">
    <w:abstractNumId w:val="18"/>
  </w:num>
  <w:num w:numId="26">
    <w:abstractNumId w:val="21"/>
  </w:num>
  <w:num w:numId="27">
    <w:abstractNumId w:val="5"/>
  </w:num>
  <w:num w:numId="28">
    <w:abstractNumId w:val="31"/>
  </w:num>
  <w:num w:numId="29">
    <w:abstractNumId w:val="26"/>
  </w:num>
  <w:num w:numId="30">
    <w:abstractNumId w:val="8"/>
  </w:num>
  <w:num w:numId="31">
    <w:abstractNumId w:val="22"/>
  </w:num>
  <w:num w:numId="32">
    <w:abstractNumId w:val="16"/>
  </w:num>
  <w:num w:numId="33">
    <w:abstractNumId w:val="14"/>
  </w:num>
  <w:num w:numId="34">
    <w:abstractNumId w:val="6"/>
  </w:num>
  <w:num w:numId="35">
    <w:abstractNumId w:val="30"/>
  </w:num>
  <w:num w:numId="36">
    <w:abstractNumId w:val="7"/>
  </w:num>
  <w:num w:numId="37">
    <w:abstractNumId w:val="10"/>
  </w:num>
  <w:num w:numId="38">
    <w:abstractNumId w:val="28"/>
  </w:num>
  <w:num w:numId="39">
    <w:abstractNumId w:val="12"/>
  </w:num>
  <w:num w:numId="40">
    <w:abstractNumId w:val="37"/>
  </w:num>
  <w:num w:numId="41">
    <w:abstractNumId w:val="4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6B"/>
    <w:rsid w:val="0000085A"/>
    <w:rsid w:val="000032CC"/>
    <w:rsid w:val="00030AED"/>
    <w:rsid w:val="00035CC5"/>
    <w:rsid w:val="000D05D5"/>
    <w:rsid w:val="001106FB"/>
    <w:rsid w:val="00130365"/>
    <w:rsid w:val="00171D02"/>
    <w:rsid w:val="00181F50"/>
    <w:rsid w:val="001A730E"/>
    <w:rsid w:val="001C0646"/>
    <w:rsid w:val="001C715F"/>
    <w:rsid w:val="001D3463"/>
    <w:rsid w:val="001E1FB2"/>
    <w:rsid w:val="00243243"/>
    <w:rsid w:val="00294001"/>
    <w:rsid w:val="002B36F6"/>
    <w:rsid w:val="002C5C5B"/>
    <w:rsid w:val="00302659"/>
    <w:rsid w:val="0031022D"/>
    <w:rsid w:val="003454A0"/>
    <w:rsid w:val="003523BE"/>
    <w:rsid w:val="00384382"/>
    <w:rsid w:val="003B5081"/>
    <w:rsid w:val="003C01D2"/>
    <w:rsid w:val="003D5ADC"/>
    <w:rsid w:val="00417171"/>
    <w:rsid w:val="004453D7"/>
    <w:rsid w:val="004A190E"/>
    <w:rsid w:val="004D47A8"/>
    <w:rsid w:val="004E5E09"/>
    <w:rsid w:val="004E7F8D"/>
    <w:rsid w:val="004F30CB"/>
    <w:rsid w:val="00507974"/>
    <w:rsid w:val="00513848"/>
    <w:rsid w:val="00562F2A"/>
    <w:rsid w:val="005A17D1"/>
    <w:rsid w:val="005A19F2"/>
    <w:rsid w:val="005C73F8"/>
    <w:rsid w:val="005D4936"/>
    <w:rsid w:val="00693567"/>
    <w:rsid w:val="006A544F"/>
    <w:rsid w:val="006A6714"/>
    <w:rsid w:val="006C4711"/>
    <w:rsid w:val="006E5591"/>
    <w:rsid w:val="006F2DC6"/>
    <w:rsid w:val="006F6D2A"/>
    <w:rsid w:val="00727F13"/>
    <w:rsid w:val="00754420"/>
    <w:rsid w:val="0075474B"/>
    <w:rsid w:val="00771339"/>
    <w:rsid w:val="007756DB"/>
    <w:rsid w:val="00797302"/>
    <w:rsid w:val="007C105F"/>
    <w:rsid w:val="007E016E"/>
    <w:rsid w:val="00804E6F"/>
    <w:rsid w:val="00806725"/>
    <w:rsid w:val="0081423D"/>
    <w:rsid w:val="00821F3B"/>
    <w:rsid w:val="008533FB"/>
    <w:rsid w:val="008777C7"/>
    <w:rsid w:val="00885333"/>
    <w:rsid w:val="008C70D1"/>
    <w:rsid w:val="008C794C"/>
    <w:rsid w:val="008E3897"/>
    <w:rsid w:val="00900F99"/>
    <w:rsid w:val="00902A7E"/>
    <w:rsid w:val="00904994"/>
    <w:rsid w:val="00930E5D"/>
    <w:rsid w:val="00937C2F"/>
    <w:rsid w:val="009469DB"/>
    <w:rsid w:val="009A7CDD"/>
    <w:rsid w:val="009D58A5"/>
    <w:rsid w:val="009E134C"/>
    <w:rsid w:val="009F2C23"/>
    <w:rsid w:val="00A152C4"/>
    <w:rsid w:val="00A74C12"/>
    <w:rsid w:val="00A76A54"/>
    <w:rsid w:val="00AA75E0"/>
    <w:rsid w:val="00AC1E71"/>
    <w:rsid w:val="00AC595F"/>
    <w:rsid w:val="00AF2C54"/>
    <w:rsid w:val="00AF316B"/>
    <w:rsid w:val="00B41E11"/>
    <w:rsid w:val="00B5304B"/>
    <w:rsid w:val="00B8247D"/>
    <w:rsid w:val="00B86CD9"/>
    <w:rsid w:val="00BA7851"/>
    <w:rsid w:val="00BC2DFB"/>
    <w:rsid w:val="00BD78C8"/>
    <w:rsid w:val="00BF32A5"/>
    <w:rsid w:val="00C00520"/>
    <w:rsid w:val="00C41216"/>
    <w:rsid w:val="00C71406"/>
    <w:rsid w:val="00CB540C"/>
    <w:rsid w:val="00CC741A"/>
    <w:rsid w:val="00CF2088"/>
    <w:rsid w:val="00CF5530"/>
    <w:rsid w:val="00D0661B"/>
    <w:rsid w:val="00D0793E"/>
    <w:rsid w:val="00D504E1"/>
    <w:rsid w:val="00D7297F"/>
    <w:rsid w:val="00D85512"/>
    <w:rsid w:val="00DA60C5"/>
    <w:rsid w:val="00DB1529"/>
    <w:rsid w:val="00DC3C5C"/>
    <w:rsid w:val="00DE788B"/>
    <w:rsid w:val="00E025FA"/>
    <w:rsid w:val="00E147BF"/>
    <w:rsid w:val="00E36B08"/>
    <w:rsid w:val="00E43579"/>
    <w:rsid w:val="00E651DD"/>
    <w:rsid w:val="00E8412E"/>
    <w:rsid w:val="00E909C5"/>
    <w:rsid w:val="00E92ADD"/>
    <w:rsid w:val="00ED2270"/>
    <w:rsid w:val="00EF6203"/>
    <w:rsid w:val="00F013A6"/>
    <w:rsid w:val="00F07036"/>
    <w:rsid w:val="00F13CDD"/>
    <w:rsid w:val="00F14BB2"/>
    <w:rsid w:val="00F250CF"/>
    <w:rsid w:val="00F46BF5"/>
    <w:rsid w:val="00F9724A"/>
    <w:rsid w:val="00FD0845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85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8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5333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181F50"/>
    <w:rPr>
      <w:color w:val="0000FF" w:themeColor="hyperlink"/>
      <w:u w:val="single"/>
    </w:rPr>
  </w:style>
  <w:style w:type="paragraph" w:customStyle="1" w:styleId="Heading1a">
    <w:name w:val="Heading 1a"/>
    <w:rsid w:val="00A76A5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PlainText">
    <w:name w:val="Plain Text"/>
    <w:basedOn w:val="Normal"/>
    <w:link w:val="PlainTextChar"/>
    <w:rsid w:val="00A76A54"/>
    <w:pPr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76A54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semiHidden/>
    <w:rsid w:val="00A76A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6A54"/>
    <w:pPr>
      <w:jc w:val="left"/>
    </w:pPr>
    <w:rPr>
      <w:rFonts w:ascii="Arial Armenian" w:hAnsi="Arial Armenian"/>
      <w:spacing w:val="-3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6A54"/>
    <w:rPr>
      <w:rFonts w:ascii="Arial Armenian" w:eastAsia="Times New Roman" w:hAnsi="Arial Armeni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6A54"/>
    <w:rPr>
      <w:rFonts w:ascii="Arial Armenian" w:eastAsia="Times New Roman" w:hAnsi="Arial Armenian" w:cs="Times New Roman"/>
      <w:b/>
      <w:bCs/>
      <w:spacing w:val="-3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76A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4D4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85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8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5333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181F50"/>
    <w:rPr>
      <w:color w:val="0000FF" w:themeColor="hyperlink"/>
      <w:u w:val="single"/>
    </w:rPr>
  </w:style>
  <w:style w:type="paragraph" w:customStyle="1" w:styleId="Heading1a">
    <w:name w:val="Heading 1a"/>
    <w:rsid w:val="00A76A5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PlainText">
    <w:name w:val="Plain Text"/>
    <w:basedOn w:val="Normal"/>
    <w:link w:val="PlainTextChar"/>
    <w:rsid w:val="00A76A54"/>
    <w:pPr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76A54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semiHidden/>
    <w:rsid w:val="00A76A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6A54"/>
    <w:pPr>
      <w:jc w:val="left"/>
    </w:pPr>
    <w:rPr>
      <w:rFonts w:ascii="Arial Armenian" w:hAnsi="Arial Armenian"/>
      <w:spacing w:val="-3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6A54"/>
    <w:rPr>
      <w:rFonts w:ascii="Arial Armenian" w:eastAsia="Times New Roman" w:hAnsi="Arial Armeni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6A54"/>
    <w:rPr>
      <w:rFonts w:ascii="Arial Armenian" w:eastAsia="Times New Roman" w:hAnsi="Arial Armenian" w:cs="Times New Roman"/>
      <w:b/>
      <w:bCs/>
      <w:spacing w:val="-3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76A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4D4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trdatyan@veolia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veolia.am/hy/media/gnowmn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9C8B-7C5F-452F-8ACE-E6655AD7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GAyvazyan</dc:creator>
  <cp:lastModifiedBy>Murad Sargsyan</cp:lastModifiedBy>
  <cp:revision>47</cp:revision>
  <cp:lastPrinted>2019-12-02T05:14:00Z</cp:lastPrinted>
  <dcterms:created xsi:type="dcterms:W3CDTF">2020-01-10T10:30:00Z</dcterms:created>
  <dcterms:modified xsi:type="dcterms:W3CDTF">2020-01-13T09:09:00Z</dcterms:modified>
</cp:coreProperties>
</file>